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2A" w:rsidRPr="00B0692A" w:rsidRDefault="00B0692A" w:rsidP="00B0692A">
      <w:pPr>
        <w:pStyle w:val="Ttulo1"/>
        <w:rPr>
          <w:snapToGrid w:val="0"/>
          <w:lang w:val="es-MX"/>
        </w:rPr>
      </w:pPr>
      <w:r w:rsidRPr="00B0692A">
        <w:rPr>
          <w:snapToGrid w:val="0"/>
          <w:lang w:val="es-MX"/>
        </w:rPr>
        <w:t>2. INFORME ECONÓMICO-FINANCIERO.</w:t>
      </w:r>
    </w:p>
    <w:p w:rsidR="00B0692A" w:rsidRPr="00B0692A" w:rsidRDefault="00B0692A" w:rsidP="00B0692A">
      <w:pPr>
        <w:rPr>
          <w:rFonts w:cs="Arial"/>
        </w:rPr>
      </w:pPr>
    </w:p>
    <w:p w:rsidR="00B0692A" w:rsidRPr="00B0692A" w:rsidRDefault="00B0692A" w:rsidP="00B0692A">
      <w:pPr>
        <w:spacing w:before="120" w:after="120" w:line="300" w:lineRule="auto"/>
        <w:ind w:firstLine="709"/>
        <w:rPr>
          <w:rFonts w:cs="Arial"/>
        </w:rPr>
      </w:pPr>
      <w:r w:rsidRPr="00B0692A">
        <w:rPr>
          <w:rFonts w:cs="Arial"/>
        </w:rPr>
        <w:t xml:space="preserve">El </w:t>
      </w:r>
      <w:r w:rsidRPr="00B0692A">
        <w:rPr>
          <w:rFonts w:cs="Arial"/>
          <w:b/>
          <w:u w:val="single"/>
        </w:rPr>
        <w:t>Presupuesto de Ingresos</w:t>
      </w:r>
      <w:r w:rsidRPr="00B0692A">
        <w:rPr>
          <w:rFonts w:cs="Arial"/>
        </w:rPr>
        <w:t xml:space="preserve"> para el ejercicio 2018 asciende a </w:t>
      </w:r>
      <w:r w:rsidRPr="00B0692A">
        <w:rPr>
          <w:rFonts w:cs="Arial"/>
          <w:b/>
          <w:bCs/>
        </w:rPr>
        <w:t xml:space="preserve">20.843.754,67 </w:t>
      </w:r>
      <w:r w:rsidRPr="00B0692A">
        <w:rPr>
          <w:rFonts w:cs="Arial"/>
          <w:b/>
        </w:rPr>
        <w:t>euros</w:t>
      </w:r>
      <w:r w:rsidRPr="00B0692A">
        <w:rPr>
          <w:rFonts w:cs="Arial"/>
        </w:rPr>
        <w:t>. Por las características de este Consorcio, la estimación de los distintos capítulos se ha presupuestado teniendo en cuenta lo siguiente</w:t>
      </w:r>
      <w:r w:rsidRPr="00B0692A">
        <w:rPr>
          <w:rFonts w:cs="Arial"/>
          <w:bCs/>
        </w:rPr>
        <w:t>:</w:t>
      </w:r>
    </w:p>
    <w:p w:rsidR="00B0692A" w:rsidRPr="00B0692A" w:rsidRDefault="00B0692A" w:rsidP="00B0692A">
      <w:pPr>
        <w:spacing w:before="120" w:line="300" w:lineRule="auto"/>
        <w:ind w:left="851" w:hanging="131"/>
        <w:rPr>
          <w:rFonts w:cs="Arial"/>
          <w:bCs/>
        </w:rPr>
      </w:pPr>
      <w:r w:rsidRPr="00B0692A">
        <w:rPr>
          <w:rFonts w:cs="Arial"/>
          <w:bCs/>
        </w:rPr>
        <w:t xml:space="preserve">- Las aportaciones de los miembros del Consorcio teniendo en cuenta el total del Presupuesto de gastos del 2018. </w:t>
      </w:r>
    </w:p>
    <w:p w:rsidR="00B0692A" w:rsidRPr="00B0692A" w:rsidRDefault="00B0692A" w:rsidP="00B0692A">
      <w:pPr>
        <w:spacing w:before="120" w:line="300" w:lineRule="auto"/>
        <w:ind w:left="720"/>
        <w:rPr>
          <w:rFonts w:cs="Arial"/>
          <w:bCs/>
        </w:rPr>
      </w:pPr>
      <w:r w:rsidRPr="00B0692A">
        <w:rPr>
          <w:rFonts w:cs="Arial"/>
          <w:bCs/>
        </w:rPr>
        <w:t>- El comportamiento y evolución de los ingresos en el ejercicio anterior.</w:t>
      </w:r>
    </w:p>
    <w:p w:rsidR="00B0692A" w:rsidRPr="00B0692A" w:rsidRDefault="00B0692A" w:rsidP="00B0692A">
      <w:pPr>
        <w:spacing w:before="120" w:line="300" w:lineRule="auto"/>
        <w:ind w:left="851" w:hanging="131"/>
        <w:rPr>
          <w:rFonts w:cs="Arial"/>
          <w:bCs/>
        </w:rPr>
      </w:pPr>
      <w:r w:rsidRPr="00B0692A">
        <w:rPr>
          <w:rFonts w:cs="Arial"/>
          <w:bCs/>
        </w:rPr>
        <w:t>- El análisis de los factores que inciden en su variación, principalmente el Euribor, en lo que se refiere a los intereses de las cuentas bancarias.</w:t>
      </w:r>
    </w:p>
    <w:p w:rsidR="00B0692A" w:rsidRPr="00B0692A" w:rsidRDefault="00B0692A" w:rsidP="00B0692A">
      <w:pPr>
        <w:spacing w:before="120" w:line="300" w:lineRule="auto"/>
        <w:ind w:left="851" w:hanging="131"/>
        <w:rPr>
          <w:rFonts w:cs="Arial"/>
          <w:bCs/>
        </w:rPr>
      </w:pPr>
      <w:r w:rsidRPr="00B0692A">
        <w:rPr>
          <w:rFonts w:cs="Arial"/>
          <w:bCs/>
        </w:rPr>
        <w:t>- El convenio que tiene este Consorcio con UNESPA (Gestora de Concierto de contribuciones especiales).</w:t>
      </w:r>
    </w:p>
    <w:p w:rsidR="00B0692A" w:rsidRPr="00B0692A" w:rsidRDefault="00B0692A" w:rsidP="00B0692A">
      <w:pPr>
        <w:spacing w:before="120" w:line="300" w:lineRule="auto"/>
        <w:ind w:left="851" w:hanging="131"/>
        <w:rPr>
          <w:rFonts w:cs="Arial"/>
          <w:bCs/>
        </w:rPr>
      </w:pPr>
      <w:r w:rsidRPr="00B0692A">
        <w:rPr>
          <w:rFonts w:cs="Arial"/>
          <w:bCs/>
        </w:rPr>
        <w:t>- La evolución del cobro de tasas de los servicios realizados y de los precios públicos por retenes.</w:t>
      </w:r>
    </w:p>
    <w:p w:rsidR="00B0692A" w:rsidRPr="00B0692A" w:rsidRDefault="00B0692A" w:rsidP="00B0692A">
      <w:pPr>
        <w:spacing w:before="120" w:line="300" w:lineRule="auto"/>
        <w:ind w:left="851" w:hanging="131"/>
        <w:rPr>
          <w:rFonts w:cs="Arial"/>
          <w:bCs/>
        </w:rPr>
      </w:pPr>
      <w:r w:rsidRPr="00B0692A">
        <w:rPr>
          <w:rFonts w:cs="Arial"/>
          <w:bCs/>
        </w:rPr>
        <w:t>- Aportaciones extraordinarias de capital del Excmo. Cabildo Insular de Tenerife.</w:t>
      </w:r>
    </w:p>
    <w:p w:rsidR="00B0692A" w:rsidRPr="00B0692A" w:rsidRDefault="00B0692A" w:rsidP="00B0692A">
      <w:pPr>
        <w:spacing w:before="120" w:line="300" w:lineRule="auto"/>
        <w:ind w:left="851" w:hanging="131"/>
        <w:rPr>
          <w:rFonts w:cs="Arial"/>
          <w:bCs/>
        </w:rPr>
      </w:pPr>
    </w:p>
    <w:p w:rsidR="00B0692A" w:rsidRPr="00B0692A" w:rsidRDefault="00B0692A" w:rsidP="00B0692A">
      <w:pPr>
        <w:spacing w:before="120" w:line="300" w:lineRule="auto"/>
        <w:ind w:firstLine="709"/>
        <w:rPr>
          <w:rFonts w:cs="Arial"/>
          <w:bCs/>
        </w:rPr>
      </w:pPr>
      <w:r w:rsidRPr="00B0692A">
        <w:rPr>
          <w:rFonts w:cs="Arial"/>
          <w:bCs/>
        </w:rPr>
        <w:t>Las previsiones de ingresos para el Presupuesto de 2018 son las siguientes:</w:t>
      </w:r>
    </w:p>
    <w:p w:rsidR="00B0692A" w:rsidRPr="00B0692A" w:rsidRDefault="00B0692A" w:rsidP="00B0692A">
      <w:pPr>
        <w:spacing w:before="120" w:line="300" w:lineRule="auto"/>
        <w:ind w:firstLine="709"/>
        <w:rPr>
          <w:rFonts w:cs="Arial"/>
          <w:bCs/>
        </w:rPr>
      </w:pPr>
    </w:p>
    <w:tbl>
      <w:tblPr>
        <w:tblW w:w="8328" w:type="dxa"/>
        <w:jc w:val="center"/>
        <w:tblBorders>
          <w:top w:val="single" w:sz="12" w:space="0" w:color="000000"/>
          <w:bottom w:val="single" w:sz="12" w:space="0" w:color="000000"/>
        </w:tblBorders>
        <w:tblLook w:val="01E0"/>
      </w:tblPr>
      <w:tblGrid>
        <w:gridCol w:w="1096"/>
        <w:gridCol w:w="2779"/>
        <w:gridCol w:w="1623"/>
        <w:gridCol w:w="1623"/>
        <w:gridCol w:w="1207"/>
      </w:tblGrid>
      <w:tr w:rsidR="00B0692A" w:rsidRPr="00B0692A" w:rsidTr="008735B7">
        <w:trPr>
          <w:trHeight w:val="510"/>
          <w:jc w:val="center"/>
        </w:trPr>
        <w:tc>
          <w:tcPr>
            <w:tcW w:w="1057"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bCs/>
              </w:rPr>
            </w:pPr>
            <w:r w:rsidRPr="00B0692A">
              <w:rPr>
                <w:rFonts w:cs="Arial"/>
                <w:b/>
                <w:bCs/>
              </w:rPr>
              <w:t>Capítulo</w:t>
            </w:r>
          </w:p>
        </w:tc>
        <w:tc>
          <w:tcPr>
            <w:tcW w:w="2961"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rPr>
            </w:pPr>
            <w:r w:rsidRPr="00B0692A">
              <w:rPr>
                <w:rFonts w:cs="Arial"/>
                <w:b/>
              </w:rPr>
              <w:t>Descripción</w:t>
            </w:r>
          </w:p>
        </w:tc>
        <w:tc>
          <w:tcPr>
            <w:tcW w:w="1583"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rPr>
            </w:pPr>
            <w:r w:rsidRPr="00B0692A">
              <w:rPr>
                <w:rFonts w:cs="Arial"/>
                <w:b/>
              </w:rPr>
              <w:t>2018</w:t>
            </w:r>
          </w:p>
        </w:tc>
        <w:tc>
          <w:tcPr>
            <w:tcW w:w="1583" w:type="dxa"/>
            <w:tcBorders>
              <w:top w:val="single" w:sz="12" w:space="0" w:color="000000"/>
              <w:bottom w:val="single" w:sz="6" w:space="0" w:color="000000"/>
            </w:tcBorders>
          </w:tcPr>
          <w:p w:rsidR="00B0692A" w:rsidRPr="00B0692A" w:rsidRDefault="00B0692A" w:rsidP="00B0692A">
            <w:pPr>
              <w:spacing w:before="120" w:line="300" w:lineRule="auto"/>
              <w:rPr>
                <w:rFonts w:cs="Arial"/>
                <w:b/>
              </w:rPr>
            </w:pPr>
            <w:r w:rsidRPr="00B0692A">
              <w:rPr>
                <w:rFonts w:cs="Arial"/>
                <w:b/>
              </w:rPr>
              <w:t>2017</w:t>
            </w:r>
          </w:p>
        </w:tc>
        <w:tc>
          <w:tcPr>
            <w:tcW w:w="1144"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rPr>
            </w:pPr>
            <w:r w:rsidRPr="00B0692A">
              <w:rPr>
                <w:rFonts w:cs="Arial"/>
                <w:b/>
              </w:rPr>
              <w:t>Variación</w:t>
            </w:r>
          </w:p>
        </w:tc>
      </w:tr>
      <w:tr w:rsidR="00B0692A" w:rsidRPr="00B0692A" w:rsidTr="008735B7">
        <w:trPr>
          <w:trHeight w:val="510"/>
          <w:jc w:val="center"/>
        </w:trPr>
        <w:tc>
          <w:tcPr>
            <w:tcW w:w="1057"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III</w:t>
            </w:r>
          </w:p>
        </w:tc>
        <w:tc>
          <w:tcPr>
            <w:tcW w:w="2961" w:type="dxa"/>
          </w:tcPr>
          <w:p w:rsidR="00B0692A" w:rsidRPr="00B0692A" w:rsidRDefault="00B0692A" w:rsidP="00B0692A">
            <w:pPr>
              <w:spacing w:before="120" w:line="300" w:lineRule="auto"/>
              <w:rPr>
                <w:rFonts w:cs="Arial"/>
              </w:rPr>
            </w:pPr>
            <w:r w:rsidRPr="00B0692A">
              <w:rPr>
                <w:rFonts w:cs="Arial"/>
              </w:rPr>
              <w:t>Tasas y otros ingresos</w:t>
            </w:r>
          </w:p>
        </w:tc>
        <w:tc>
          <w:tcPr>
            <w:tcW w:w="1583" w:type="dxa"/>
            <w:vAlign w:val="center"/>
          </w:tcPr>
          <w:p w:rsidR="00B0692A" w:rsidRPr="00B0692A" w:rsidRDefault="00B0692A" w:rsidP="00B0692A">
            <w:pPr>
              <w:rPr>
                <w:rFonts w:cs="Arial"/>
              </w:rPr>
            </w:pPr>
            <w:r w:rsidRPr="00B0692A">
              <w:rPr>
                <w:rFonts w:cs="Arial"/>
              </w:rPr>
              <w:t>2.300.000,00</w:t>
            </w:r>
          </w:p>
        </w:tc>
        <w:tc>
          <w:tcPr>
            <w:tcW w:w="1583" w:type="dxa"/>
          </w:tcPr>
          <w:p w:rsidR="00B0692A" w:rsidRPr="00B0692A" w:rsidRDefault="00B0692A" w:rsidP="00B0692A">
            <w:pPr>
              <w:spacing w:before="120" w:line="300" w:lineRule="auto"/>
              <w:rPr>
                <w:rFonts w:cs="Arial"/>
              </w:rPr>
            </w:pPr>
            <w:r w:rsidRPr="00B0692A">
              <w:rPr>
                <w:rFonts w:cs="Arial"/>
              </w:rPr>
              <w:t>2.152.000,00</w:t>
            </w:r>
          </w:p>
        </w:tc>
        <w:tc>
          <w:tcPr>
            <w:tcW w:w="1144" w:type="dxa"/>
            <w:vAlign w:val="center"/>
          </w:tcPr>
          <w:p w:rsidR="00B0692A" w:rsidRPr="00B0692A" w:rsidRDefault="00B0692A" w:rsidP="00B0692A">
            <w:pPr>
              <w:rPr>
                <w:rFonts w:cs="Arial"/>
              </w:rPr>
            </w:pPr>
            <w:r w:rsidRPr="00B0692A">
              <w:rPr>
                <w:rFonts w:cs="Arial"/>
              </w:rPr>
              <w:t>6,88%</w:t>
            </w:r>
          </w:p>
        </w:tc>
      </w:tr>
      <w:tr w:rsidR="00B0692A" w:rsidRPr="00B0692A" w:rsidTr="008735B7">
        <w:trPr>
          <w:trHeight w:val="510"/>
          <w:jc w:val="center"/>
        </w:trPr>
        <w:tc>
          <w:tcPr>
            <w:tcW w:w="1057"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IV</w:t>
            </w:r>
          </w:p>
        </w:tc>
        <w:tc>
          <w:tcPr>
            <w:tcW w:w="2961" w:type="dxa"/>
          </w:tcPr>
          <w:p w:rsidR="00B0692A" w:rsidRPr="00B0692A" w:rsidRDefault="00B0692A" w:rsidP="00B0692A">
            <w:pPr>
              <w:spacing w:before="120" w:line="300" w:lineRule="auto"/>
              <w:rPr>
                <w:rFonts w:cs="Arial"/>
              </w:rPr>
            </w:pPr>
            <w:r w:rsidRPr="00B0692A">
              <w:rPr>
                <w:rFonts w:cs="Arial"/>
              </w:rPr>
              <w:t>Transferencias corrientes</w:t>
            </w:r>
          </w:p>
        </w:tc>
        <w:tc>
          <w:tcPr>
            <w:tcW w:w="1583" w:type="dxa"/>
            <w:vAlign w:val="center"/>
          </w:tcPr>
          <w:p w:rsidR="00B0692A" w:rsidRPr="00B0692A" w:rsidRDefault="00B0692A" w:rsidP="00B0692A">
            <w:pPr>
              <w:rPr>
                <w:rFonts w:cs="Arial"/>
              </w:rPr>
            </w:pPr>
            <w:r w:rsidRPr="00B0692A">
              <w:rPr>
                <w:rFonts w:cs="Arial"/>
              </w:rPr>
              <w:t>15.781.229,18</w:t>
            </w:r>
          </w:p>
        </w:tc>
        <w:tc>
          <w:tcPr>
            <w:tcW w:w="1583" w:type="dxa"/>
          </w:tcPr>
          <w:p w:rsidR="00B0692A" w:rsidRPr="00B0692A" w:rsidRDefault="00B0692A" w:rsidP="00B0692A">
            <w:pPr>
              <w:spacing w:before="120" w:line="300" w:lineRule="auto"/>
              <w:rPr>
                <w:rFonts w:cs="Arial"/>
              </w:rPr>
            </w:pPr>
            <w:r w:rsidRPr="00B0692A">
              <w:rPr>
                <w:rFonts w:cs="Arial"/>
              </w:rPr>
              <w:t>15.440.101,87</w:t>
            </w:r>
          </w:p>
        </w:tc>
        <w:tc>
          <w:tcPr>
            <w:tcW w:w="1144" w:type="dxa"/>
            <w:vAlign w:val="center"/>
          </w:tcPr>
          <w:p w:rsidR="00B0692A" w:rsidRPr="00B0692A" w:rsidRDefault="00B0692A" w:rsidP="00B0692A">
            <w:pPr>
              <w:rPr>
                <w:rFonts w:cs="Arial"/>
              </w:rPr>
            </w:pPr>
            <w:r w:rsidRPr="00B0692A">
              <w:rPr>
                <w:rFonts w:cs="Arial"/>
              </w:rPr>
              <w:t>2,21%</w:t>
            </w:r>
          </w:p>
        </w:tc>
      </w:tr>
      <w:tr w:rsidR="00B0692A" w:rsidRPr="00B0692A" w:rsidTr="008735B7">
        <w:trPr>
          <w:trHeight w:val="510"/>
          <w:jc w:val="center"/>
        </w:trPr>
        <w:tc>
          <w:tcPr>
            <w:tcW w:w="1057"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V</w:t>
            </w:r>
          </w:p>
        </w:tc>
        <w:tc>
          <w:tcPr>
            <w:tcW w:w="2961" w:type="dxa"/>
          </w:tcPr>
          <w:p w:rsidR="00B0692A" w:rsidRPr="00B0692A" w:rsidRDefault="00B0692A" w:rsidP="00B0692A">
            <w:pPr>
              <w:spacing w:before="120" w:line="300" w:lineRule="auto"/>
              <w:rPr>
                <w:rFonts w:cs="Arial"/>
              </w:rPr>
            </w:pPr>
            <w:r w:rsidRPr="00B0692A">
              <w:rPr>
                <w:rFonts w:cs="Arial"/>
              </w:rPr>
              <w:t>Ingresos patrimoniales</w:t>
            </w:r>
          </w:p>
        </w:tc>
        <w:tc>
          <w:tcPr>
            <w:tcW w:w="1583" w:type="dxa"/>
            <w:vAlign w:val="center"/>
          </w:tcPr>
          <w:p w:rsidR="00B0692A" w:rsidRPr="00B0692A" w:rsidRDefault="00B0692A" w:rsidP="00B0692A">
            <w:pPr>
              <w:rPr>
                <w:rFonts w:cs="Arial"/>
              </w:rPr>
            </w:pPr>
            <w:r w:rsidRPr="00B0692A">
              <w:rPr>
                <w:rFonts w:cs="Arial"/>
              </w:rPr>
              <w:t>2.500,00</w:t>
            </w:r>
          </w:p>
        </w:tc>
        <w:tc>
          <w:tcPr>
            <w:tcW w:w="1583" w:type="dxa"/>
          </w:tcPr>
          <w:p w:rsidR="00B0692A" w:rsidRPr="00B0692A" w:rsidRDefault="00B0692A" w:rsidP="00B0692A">
            <w:pPr>
              <w:spacing w:before="120" w:line="300" w:lineRule="auto"/>
              <w:rPr>
                <w:rFonts w:cs="Arial"/>
              </w:rPr>
            </w:pPr>
            <w:r w:rsidRPr="00B0692A">
              <w:rPr>
                <w:rFonts w:cs="Arial"/>
              </w:rPr>
              <w:t>2.500,00</w:t>
            </w:r>
          </w:p>
        </w:tc>
        <w:tc>
          <w:tcPr>
            <w:tcW w:w="1144" w:type="dxa"/>
            <w:vAlign w:val="center"/>
          </w:tcPr>
          <w:p w:rsidR="00B0692A" w:rsidRPr="00B0692A" w:rsidRDefault="00B0692A" w:rsidP="00B0692A">
            <w:pPr>
              <w:rPr>
                <w:rFonts w:cs="Arial"/>
              </w:rPr>
            </w:pPr>
            <w:r w:rsidRPr="00B0692A">
              <w:rPr>
                <w:rFonts w:cs="Arial"/>
              </w:rPr>
              <w:t>0,00%</w:t>
            </w:r>
          </w:p>
        </w:tc>
      </w:tr>
      <w:tr w:rsidR="00B0692A" w:rsidRPr="00B0692A" w:rsidTr="008735B7">
        <w:trPr>
          <w:trHeight w:val="510"/>
          <w:jc w:val="center"/>
        </w:trPr>
        <w:tc>
          <w:tcPr>
            <w:tcW w:w="1057"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VII</w:t>
            </w:r>
          </w:p>
        </w:tc>
        <w:tc>
          <w:tcPr>
            <w:tcW w:w="2961" w:type="dxa"/>
          </w:tcPr>
          <w:p w:rsidR="00B0692A" w:rsidRPr="00B0692A" w:rsidRDefault="00B0692A" w:rsidP="00B0692A">
            <w:pPr>
              <w:spacing w:before="120" w:line="300" w:lineRule="auto"/>
              <w:rPr>
                <w:rFonts w:cs="Arial"/>
              </w:rPr>
            </w:pPr>
            <w:r w:rsidRPr="00B0692A">
              <w:rPr>
                <w:rFonts w:cs="Arial"/>
              </w:rPr>
              <w:t>Transferencia capital</w:t>
            </w:r>
          </w:p>
        </w:tc>
        <w:tc>
          <w:tcPr>
            <w:tcW w:w="1583" w:type="dxa"/>
            <w:vAlign w:val="center"/>
          </w:tcPr>
          <w:p w:rsidR="00B0692A" w:rsidRPr="00B0692A" w:rsidRDefault="00B0692A" w:rsidP="00B0692A">
            <w:pPr>
              <w:rPr>
                <w:rFonts w:cs="Arial"/>
              </w:rPr>
            </w:pPr>
            <w:r w:rsidRPr="00B0692A">
              <w:rPr>
                <w:rFonts w:cs="Arial"/>
              </w:rPr>
              <w:t>2.650.025,50</w:t>
            </w:r>
          </w:p>
        </w:tc>
        <w:tc>
          <w:tcPr>
            <w:tcW w:w="1583" w:type="dxa"/>
          </w:tcPr>
          <w:p w:rsidR="00B0692A" w:rsidRPr="00B0692A" w:rsidRDefault="00B0692A" w:rsidP="00B0692A">
            <w:pPr>
              <w:spacing w:before="120" w:line="300" w:lineRule="auto"/>
              <w:rPr>
                <w:rFonts w:cs="Arial"/>
              </w:rPr>
            </w:pPr>
            <w:r w:rsidRPr="00B0692A">
              <w:rPr>
                <w:rFonts w:cs="Arial"/>
              </w:rPr>
              <w:t>892.135,20</w:t>
            </w:r>
          </w:p>
        </w:tc>
        <w:tc>
          <w:tcPr>
            <w:tcW w:w="1144" w:type="dxa"/>
            <w:vAlign w:val="center"/>
          </w:tcPr>
          <w:p w:rsidR="00B0692A" w:rsidRPr="00B0692A" w:rsidRDefault="00B0692A" w:rsidP="00B0692A">
            <w:pPr>
              <w:rPr>
                <w:rFonts w:cs="Arial"/>
              </w:rPr>
            </w:pPr>
            <w:r w:rsidRPr="00B0692A">
              <w:rPr>
                <w:rFonts w:cs="Arial"/>
              </w:rPr>
              <w:t>197,04%</w:t>
            </w:r>
          </w:p>
        </w:tc>
      </w:tr>
      <w:tr w:rsidR="00B0692A" w:rsidRPr="00B0692A" w:rsidTr="008735B7">
        <w:trPr>
          <w:trHeight w:val="510"/>
          <w:jc w:val="center"/>
        </w:trPr>
        <w:tc>
          <w:tcPr>
            <w:tcW w:w="1057"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VIII</w:t>
            </w:r>
          </w:p>
        </w:tc>
        <w:tc>
          <w:tcPr>
            <w:tcW w:w="2961" w:type="dxa"/>
          </w:tcPr>
          <w:p w:rsidR="00B0692A" w:rsidRPr="00B0692A" w:rsidRDefault="00B0692A" w:rsidP="00B0692A">
            <w:pPr>
              <w:spacing w:before="120" w:line="300" w:lineRule="auto"/>
              <w:rPr>
                <w:rFonts w:cs="Arial"/>
              </w:rPr>
            </w:pPr>
            <w:r w:rsidRPr="00B0692A">
              <w:rPr>
                <w:rFonts w:cs="Arial"/>
              </w:rPr>
              <w:t>Activos financieros</w:t>
            </w:r>
          </w:p>
        </w:tc>
        <w:tc>
          <w:tcPr>
            <w:tcW w:w="1583" w:type="dxa"/>
            <w:vAlign w:val="center"/>
          </w:tcPr>
          <w:p w:rsidR="00B0692A" w:rsidRPr="00B0692A" w:rsidRDefault="00B0692A" w:rsidP="00B0692A">
            <w:pPr>
              <w:rPr>
                <w:rFonts w:cs="Arial"/>
              </w:rPr>
            </w:pPr>
            <w:r w:rsidRPr="00B0692A">
              <w:rPr>
                <w:rFonts w:cs="Arial"/>
              </w:rPr>
              <w:t>110.000,00</w:t>
            </w:r>
          </w:p>
        </w:tc>
        <w:tc>
          <w:tcPr>
            <w:tcW w:w="1583" w:type="dxa"/>
          </w:tcPr>
          <w:p w:rsidR="00B0692A" w:rsidRPr="00B0692A" w:rsidRDefault="00B0692A" w:rsidP="00B0692A">
            <w:pPr>
              <w:spacing w:before="120" w:line="300" w:lineRule="auto"/>
              <w:rPr>
                <w:rFonts w:cs="Arial"/>
              </w:rPr>
            </w:pPr>
            <w:r w:rsidRPr="00B0692A">
              <w:rPr>
                <w:rFonts w:cs="Arial"/>
              </w:rPr>
              <w:t>110.000,00</w:t>
            </w:r>
          </w:p>
        </w:tc>
        <w:tc>
          <w:tcPr>
            <w:tcW w:w="1144" w:type="dxa"/>
            <w:vAlign w:val="center"/>
          </w:tcPr>
          <w:p w:rsidR="00B0692A" w:rsidRPr="00B0692A" w:rsidRDefault="00B0692A" w:rsidP="00B0692A">
            <w:pPr>
              <w:rPr>
                <w:rFonts w:cs="Arial"/>
              </w:rPr>
            </w:pPr>
            <w:r w:rsidRPr="00B0692A">
              <w:rPr>
                <w:rFonts w:cs="Arial"/>
              </w:rPr>
              <w:t>0,00%</w:t>
            </w:r>
          </w:p>
        </w:tc>
      </w:tr>
      <w:tr w:rsidR="00B0692A" w:rsidRPr="00B0692A" w:rsidTr="008735B7">
        <w:trPr>
          <w:trHeight w:val="510"/>
          <w:jc w:val="center"/>
        </w:trPr>
        <w:tc>
          <w:tcPr>
            <w:tcW w:w="1057" w:type="dxa"/>
            <w:tcBorders>
              <w:top w:val="single" w:sz="6" w:space="0" w:color="000000"/>
              <w:bottom w:val="single" w:sz="12" w:space="0" w:color="000000"/>
            </w:tcBorders>
            <w:shd w:val="solid" w:color="C0C0C0" w:fill="FFFFFF"/>
          </w:tcPr>
          <w:p w:rsidR="00B0692A" w:rsidRPr="00B0692A" w:rsidRDefault="00B0692A" w:rsidP="00B0692A">
            <w:pPr>
              <w:spacing w:before="120" w:line="300" w:lineRule="auto"/>
              <w:rPr>
                <w:rFonts w:cs="Arial"/>
                <w:b/>
                <w:bCs/>
              </w:rPr>
            </w:pPr>
          </w:p>
        </w:tc>
        <w:tc>
          <w:tcPr>
            <w:tcW w:w="2961" w:type="dxa"/>
            <w:tcBorders>
              <w:top w:val="single" w:sz="6" w:space="0" w:color="000000"/>
              <w:bottom w:val="single" w:sz="12" w:space="0" w:color="000000"/>
            </w:tcBorders>
          </w:tcPr>
          <w:p w:rsidR="00B0692A" w:rsidRPr="00B0692A" w:rsidRDefault="00B0692A" w:rsidP="00B0692A">
            <w:pPr>
              <w:spacing w:before="120" w:line="300" w:lineRule="auto"/>
              <w:rPr>
                <w:rFonts w:cs="Arial"/>
                <w:b/>
              </w:rPr>
            </w:pPr>
            <w:r w:rsidRPr="00B0692A">
              <w:rPr>
                <w:rFonts w:cs="Arial"/>
                <w:b/>
              </w:rPr>
              <w:t>TOTAL ESTADO INGRESOS</w:t>
            </w:r>
          </w:p>
        </w:tc>
        <w:tc>
          <w:tcPr>
            <w:tcW w:w="1583" w:type="dxa"/>
            <w:tcBorders>
              <w:top w:val="single" w:sz="6" w:space="0" w:color="000000"/>
              <w:bottom w:val="single" w:sz="12" w:space="0" w:color="000000"/>
            </w:tcBorders>
            <w:vAlign w:val="center"/>
          </w:tcPr>
          <w:p w:rsidR="00B0692A" w:rsidRPr="00B0692A" w:rsidRDefault="00B0692A" w:rsidP="00B0692A">
            <w:pPr>
              <w:rPr>
                <w:rFonts w:cs="Arial"/>
                <w:b/>
                <w:bCs/>
              </w:rPr>
            </w:pPr>
            <w:r w:rsidRPr="00B0692A">
              <w:rPr>
                <w:rFonts w:cs="Arial"/>
                <w:b/>
                <w:bCs/>
              </w:rPr>
              <w:t>20.843.754,67</w:t>
            </w:r>
          </w:p>
        </w:tc>
        <w:tc>
          <w:tcPr>
            <w:tcW w:w="1583" w:type="dxa"/>
            <w:tcBorders>
              <w:top w:val="single" w:sz="6" w:space="0" w:color="000000"/>
              <w:bottom w:val="single" w:sz="12" w:space="0" w:color="000000"/>
            </w:tcBorders>
          </w:tcPr>
          <w:p w:rsidR="00B0692A" w:rsidRPr="00B0692A" w:rsidRDefault="00B0692A" w:rsidP="00B0692A">
            <w:pPr>
              <w:spacing w:before="120" w:line="300" w:lineRule="auto"/>
              <w:rPr>
                <w:rFonts w:cs="Arial"/>
                <w:b/>
              </w:rPr>
            </w:pPr>
            <w:r w:rsidRPr="00B0692A">
              <w:rPr>
                <w:rFonts w:cs="Arial"/>
                <w:b/>
              </w:rPr>
              <w:t>18.596.737,07</w:t>
            </w:r>
          </w:p>
        </w:tc>
        <w:tc>
          <w:tcPr>
            <w:tcW w:w="1144" w:type="dxa"/>
            <w:tcBorders>
              <w:top w:val="single" w:sz="6" w:space="0" w:color="000000"/>
              <w:bottom w:val="single" w:sz="12" w:space="0" w:color="000000"/>
            </w:tcBorders>
            <w:vAlign w:val="center"/>
          </w:tcPr>
          <w:p w:rsidR="00B0692A" w:rsidRPr="00B0692A" w:rsidRDefault="00B0692A" w:rsidP="00B0692A">
            <w:pPr>
              <w:rPr>
                <w:rFonts w:cs="Arial"/>
                <w:b/>
                <w:bCs/>
              </w:rPr>
            </w:pPr>
            <w:r w:rsidRPr="00B0692A">
              <w:rPr>
                <w:rFonts w:cs="Arial"/>
                <w:b/>
                <w:bCs/>
              </w:rPr>
              <w:t>12,08%</w:t>
            </w:r>
          </w:p>
        </w:tc>
      </w:tr>
    </w:tbl>
    <w:p w:rsidR="00B0692A" w:rsidRPr="00B0692A" w:rsidRDefault="00B0692A" w:rsidP="00B0692A">
      <w:pPr>
        <w:spacing w:before="120" w:line="300" w:lineRule="auto"/>
        <w:ind w:firstLine="709"/>
        <w:rPr>
          <w:rFonts w:cs="Arial"/>
          <w:bCs/>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Cs/>
        </w:rPr>
      </w:pPr>
      <w:r w:rsidRPr="00B0692A">
        <w:rPr>
          <w:rFonts w:ascii="Arial" w:hAnsi="Arial" w:cs="Arial"/>
          <w:b/>
          <w:bCs/>
        </w:rPr>
        <w:lastRenderedPageBreak/>
        <w:t>Capítulo III</w:t>
      </w:r>
      <w:r w:rsidRPr="00B0692A">
        <w:rPr>
          <w:rFonts w:ascii="Arial" w:hAnsi="Arial" w:cs="Arial"/>
          <w:bCs/>
        </w:rPr>
        <w:t>, Tasas y otros ingresos.</w:t>
      </w:r>
    </w:p>
    <w:p w:rsidR="00B0692A" w:rsidRPr="00B0692A" w:rsidRDefault="00B0692A" w:rsidP="00B0692A">
      <w:pPr>
        <w:spacing w:before="120" w:line="300" w:lineRule="auto"/>
        <w:ind w:firstLine="709"/>
        <w:rPr>
          <w:rFonts w:cs="Arial"/>
          <w:bCs/>
        </w:rPr>
      </w:pPr>
      <w:r w:rsidRPr="00B0692A">
        <w:rPr>
          <w:rFonts w:cs="Arial"/>
          <w:bCs/>
        </w:rPr>
        <w:t xml:space="preserve">La previsión de ingresos en este capítulo está principalmente formada por la cantidad recibida anualmente por la Gestora de conciertos para la contribución a los servicios de extinción de incendios A.I.E. (UNESPA), que se estima en 2.120.000 euros para 2018. </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spacing w:before="120" w:line="300" w:lineRule="auto"/>
        <w:ind w:firstLine="709"/>
        <w:rPr>
          <w:rFonts w:cs="Arial"/>
          <w:bCs/>
        </w:rPr>
      </w:pPr>
      <w:r w:rsidRPr="00B0692A">
        <w:rPr>
          <w:rFonts w:cs="Arial"/>
          <w:bCs/>
        </w:rPr>
        <w:t xml:space="preserve">En lo que se refiere a las tasas por prestación de servicios, se prevé un aumento con respecto al ejercicio anterior. El importe presupuestado para 2018 asciende a 150.000 euros. </w:t>
      </w:r>
    </w:p>
    <w:p w:rsidR="00B0692A" w:rsidRPr="00B0692A" w:rsidRDefault="00B0692A" w:rsidP="00B0692A">
      <w:pPr>
        <w:spacing w:before="120" w:line="300" w:lineRule="auto"/>
        <w:ind w:firstLine="709"/>
        <w:rPr>
          <w:rFonts w:cs="Arial"/>
          <w:bCs/>
        </w:rPr>
      </w:pPr>
      <w:r w:rsidRPr="00B0692A">
        <w:rPr>
          <w:rFonts w:cs="Arial"/>
          <w:bCs/>
        </w:rPr>
        <w:t>Lo mismo ocurre con los precios públicos, estimándose unos ingresos de 30.000 euros.</w:t>
      </w:r>
    </w:p>
    <w:p w:rsidR="00B0692A" w:rsidRPr="00B0692A" w:rsidRDefault="00B0692A" w:rsidP="00B0692A">
      <w:pPr>
        <w:spacing w:before="120" w:line="300" w:lineRule="auto"/>
        <w:ind w:firstLine="709"/>
        <w:rPr>
          <w:rFonts w:cs="Arial"/>
          <w:bCs/>
        </w:rPr>
      </w:pPr>
      <w:r w:rsidRPr="00B0692A">
        <w:rPr>
          <w:rFonts w:cs="Arial"/>
          <w:bCs/>
        </w:rPr>
        <w:t xml:space="preserve">La previsión de ingresos de este Capítulo III supone un incremento con respecto al ejercicio anterior del 6,88%, siendo el peso total en el presupuesto de ingresos del </w:t>
      </w:r>
      <w:r w:rsidRPr="00B0692A">
        <w:rPr>
          <w:rFonts w:cs="Arial"/>
          <w:b/>
          <w:bCs/>
        </w:rPr>
        <w:t>11,03%.</w:t>
      </w:r>
    </w:p>
    <w:p w:rsidR="00B0692A" w:rsidRPr="00B0692A" w:rsidRDefault="00B0692A" w:rsidP="00B0692A">
      <w:pPr>
        <w:spacing w:before="120" w:line="300" w:lineRule="auto"/>
        <w:ind w:firstLine="709"/>
        <w:rPr>
          <w:rFonts w:cs="Arial"/>
          <w:bCs/>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Cs/>
        </w:rPr>
      </w:pPr>
      <w:r w:rsidRPr="00B0692A">
        <w:rPr>
          <w:rFonts w:ascii="Arial" w:hAnsi="Arial" w:cs="Arial"/>
          <w:bCs/>
        </w:rPr>
        <w:t xml:space="preserve">El </w:t>
      </w:r>
      <w:r w:rsidRPr="00B0692A">
        <w:rPr>
          <w:rFonts w:ascii="Arial" w:hAnsi="Arial" w:cs="Arial"/>
          <w:b/>
          <w:bCs/>
        </w:rPr>
        <w:t>Capítulo IV, Transferencias corrientes.</w:t>
      </w:r>
    </w:p>
    <w:p w:rsidR="00B0692A" w:rsidRPr="00B0692A" w:rsidRDefault="00B0692A" w:rsidP="00B0692A">
      <w:pPr>
        <w:spacing w:before="120" w:line="300" w:lineRule="auto"/>
        <w:ind w:firstLine="709"/>
        <w:rPr>
          <w:rFonts w:cs="Arial"/>
          <w:bCs/>
        </w:rPr>
      </w:pPr>
      <w:r w:rsidRPr="00B0692A">
        <w:rPr>
          <w:rFonts w:cs="Arial"/>
          <w:bCs/>
        </w:rPr>
        <w:t xml:space="preserve">En este capítulo, que supone el </w:t>
      </w:r>
      <w:r w:rsidRPr="00B0692A">
        <w:rPr>
          <w:rFonts w:cs="Arial"/>
          <w:b/>
          <w:bCs/>
        </w:rPr>
        <w:t>75,71%</w:t>
      </w:r>
      <w:r w:rsidRPr="00B0692A">
        <w:rPr>
          <w:rFonts w:cs="Arial"/>
          <w:bCs/>
        </w:rPr>
        <w:t xml:space="preserve"> del presupuesto de ingresos, se recogen las transferencias corrientes de los miembros del Consorcio y de los ayuntamientos no consorciados, siendo la principal fuente de financiación de este Consorcio.</w:t>
      </w:r>
    </w:p>
    <w:p w:rsidR="00B0692A" w:rsidRPr="00B0692A" w:rsidRDefault="00B0692A" w:rsidP="00B0692A">
      <w:pPr>
        <w:spacing w:line="300" w:lineRule="auto"/>
        <w:ind w:firstLine="709"/>
        <w:rPr>
          <w:rFonts w:cs="Arial"/>
          <w:bCs/>
        </w:rPr>
      </w:pPr>
    </w:p>
    <w:p w:rsidR="00B0692A" w:rsidRPr="00B0692A" w:rsidRDefault="00B0692A" w:rsidP="00B0692A">
      <w:pPr>
        <w:spacing w:line="300" w:lineRule="auto"/>
        <w:ind w:firstLine="709"/>
        <w:rPr>
          <w:rFonts w:cs="Arial"/>
          <w:bCs/>
        </w:rPr>
      </w:pPr>
      <w:r w:rsidRPr="00B0692A">
        <w:rPr>
          <w:rFonts w:cs="Arial"/>
          <w:bCs/>
        </w:rPr>
        <w:t>El artículo 30 de los Estatutos del Consorcio recoge el porcentaje de financiación de las aportaciones de sus administraciones consorciadas, incluyendo la de los ayuntamientos no consorciados. Estas aportaciones, que tienen carácter finalista respecto del servicio público que se presta, están englobadas en dos grupos:</w:t>
      </w:r>
    </w:p>
    <w:p w:rsidR="00B0692A" w:rsidRPr="00B0692A" w:rsidRDefault="00B0692A" w:rsidP="00B0692A">
      <w:pPr>
        <w:spacing w:line="300" w:lineRule="auto"/>
        <w:ind w:firstLine="709"/>
        <w:rPr>
          <w:rFonts w:cs="Arial"/>
          <w:bCs/>
        </w:rPr>
      </w:pPr>
    </w:p>
    <w:p w:rsidR="00B0692A" w:rsidRPr="00B0692A" w:rsidRDefault="00B0692A" w:rsidP="00B0692A">
      <w:pPr>
        <w:spacing w:line="300" w:lineRule="auto"/>
        <w:ind w:firstLine="709"/>
        <w:rPr>
          <w:rFonts w:cs="Arial"/>
          <w:bCs/>
        </w:rPr>
      </w:pPr>
      <w:r w:rsidRPr="00B0692A">
        <w:rPr>
          <w:rFonts w:cs="Arial"/>
          <w:bCs/>
        </w:rPr>
        <w:t xml:space="preserve">1.- </w:t>
      </w:r>
      <w:r w:rsidRPr="00B0692A">
        <w:rPr>
          <w:rFonts w:cs="Arial"/>
          <w:bCs/>
          <w:u w:val="single"/>
        </w:rPr>
        <w:t>Entidades locales</w:t>
      </w:r>
      <w:r w:rsidRPr="00B0692A">
        <w:rPr>
          <w:rFonts w:cs="Arial"/>
          <w:bCs/>
        </w:rPr>
        <w:t xml:space="preserve">: El Excmo. Cabildo Insular de Tenerife y los 31 ayuntamientos de la isla de Tenerife. </w:t>
      </w:r>
    </w:p>
    <w:p w:rsidR="00B0692A" w:rsidRPr="00B0692A" w:rsidRDefault="00B0692A" w:rsidP="00B0692A">
      <w:pPr>
        <w:spacing w:line="300" w:lineRule="auto"/>
        <w:ind w:firstLine="709"/>
        <w:rPr>
          <w:rFonts w:cs="Arial"/>
          <w:bCs/>
        </w:rPr>
      </w:pPr>
      <w:r w:rsidRPr="00B0692A">
        <w:rPr>
          <w:rFonts w:cs="Arial"/>
          <w:bCs/>
        </w:rPr>
        <w:t xml:space="preserve">Hay que tener en cuenta que de los 31 ayuntamientos, 4 no están consorciados (Buenavista del Norte, La Matanza de </w:t>
      </w:r>
      <w:proofErr w:type="spellStart"/>
      <w:r w:rsidRPr="00B0692A">
        <w:rPr>
          <w:rFonts w:cs="Arial"/>
          <w:bCs/>
        </w:rPr>
        <w:t>Acentejo</w:t>
      </w:r>
      <w:proofErr w:type="spellEnd"/>
      <w:r w:rsidRPr="00B0692A">
        <w:rPr>
          <w:rFonts w:cs="Arial"/>
          <w:bCs/>
        </w:rPr>
        <w:t xml:space="preserve">, La Victoria de </w:t>
      </w:r>
      <w:proofErr w:type="spellStart"/>
      <w:r w:rsidRPr="00B0692A">
        <w:rPr>
          <w:rFonts w:cs="Arial"/>
          <w:bCs/>
        </w:rPr>
        <w:t>Acentejo</w:t>
      </w:r>
      <w:proofErr w:type="spellEnd"/>
      <w:r w:rsidRPr="00B0692A">
        <w:rPr>
          <w:rFonts w:cs="Arial"/>
          <w:bCs/>
        </w:rPr>
        <w:t xml:space="preserve"> y El Tanque).</w:t>
      </w:r>
    </w:p>
    <w:p w:rsidR="00B0692A" w:rsidRPr="00B0692A" w:rsidRDefault="00B0692A" w:rsidP="00B0692A">
      <w:pPr>
        <w:spacing w:line="300" w:lineRule="auto"/>
        <w:ind w:firstLine="709"/>
        <w:rPr>
          <w:rFonts w:cs="Arial"/>
          <w:bCs/>
        </w:rPr>
      </w:pPr>
    </w:p>
    <w:p w:rsidR="00B0692A" w:rsidRPr="00B0692A" w:rsidRDefault="00B0692A" w:rsidP="00B0692A">
      <w:pPr>
        <w:spacing w:line="300" w:lineRule="auto"/>
        <w:ind w:firstLine="709"/>
        <w:rPr>
          <w:rFonts w:cs="Arial"/>
          <w:bCs/>
        </w:rPr>
      </w:pPr>
      <w:r w:rsidRPr="00B0692A">
        <w:rPr>
          <w:rFonts w:cs="Arial"/>
          <w:bCs/>
        </w:rPr>
        <w:t xml:space="preserve">2.- </w:t>
      </w:r>
      <w:r w:rsidRPr="00B0692A">
        <w:rPr>
          <w:rFonts w:cs="Arial"/>
          <w:bCs/>
          <w:u w:val="single"/>
        </w:rPr>
        <w:t>Comunidad Autónoma de Canarias</w:t>
      </w:r>
      <w:r w:rsidRPr="00B0692A">
        <w:rPr>
          <w:rFonts w:cs="Arial"/>
          <w:bCs/>
        </w:rPr>
        <w:t>, que participa en la cantidad que determine en la Ley de Presupuestos Generales de su Comunidad para cada año.</w:t>
      </w:r>
    </w:p>
    <w:p w:rsidR="00B0692A" w:rsidRPr="00B0692A" w:rsidRDefault="00B0692A" w:rsidP="00B0692A">
      <w:pPr>
        <w:spacing w:line="300" w:lineRule="auto"/>
        <w:ind w:firstLine="709"/>
        <w:rPr>
          <w:rFonts w:cs="Arial"/>
          <w:bCs/>
        </w:rPr>
      </w:pPr>
    </w:p>
    <w:p w:rsidR="00B0692A" w:rsidRPr="00B0692A" w:rsidRDefault="00B0692A" w:rsidP="00B0692A">
      <w:pPr>
        <w:spacing w:line="300" w:lineRule="auto"/>
        <w:ind w:firstLine="709"/>
        <w:rPr>
          <w:rFonts w:cs="Arial"/>
          <w:bCs/>
        </w:rPr>
      </w:pPr>
      <w:r w:rsidRPr="00B0692A">
        <w:rPr>
          <w:rFonts w:cs="Arial"/>
          <w:bCs/>
        </w:rPr>
        <w:t xml:space="preserve">Las aportaciones que les correspondan a los cuatro ayuntamientos no consorciados, a los que igualmente se les presta el servicio de prevención, extinción </w:t>
      </w:r>
      <w:r w:rsidRPr="00B0692A">
        <w:rPr>
          <w:rFonts w:cs="Arial"/>
          <w:bCs/>
        </w:rPr>
        <w:lastRenderedPageBreak/>
        <w:t>de incendios y salvamento, serán detraídas de la participación de tales municipios en los Planes Insulares de Cooperación Municipal, y su aportación en el total del Presupuesto para 2018 es de 0,56%.</w:t>
      </w:r>
    </w:p>
    <w:p w:rsidR="00B0692A" w:rsidRPr="00B0692A" w:rsidRDefault="00B0692A" w:rsidP="00B0692A">
      <w:pPr>
        <w:spacing w:line="300" w:lineRule="auto"/>
        <w:ind w:firstLine="709"/>
        <w:rPr>
          <w:rFonts w:cs="Arial"/>
          <w:bCs/>
          <w:color w:val="FF0000"/>
        </w:rPr>
      </w:pPr>
    </w:p>
    <w:p w:rsidR="00B0692A" w:rsidRPr="00B0692A" w:rsidRDefault="00B0692A" w:rsidP="00B0692A">
      <w:pPr>
        <w:spacing w:line="300" w:lineRule="auto"/>
        <w:ind w:firstLine="709"/>
        <w:rPr>
          <w:rFonts w:cs="Arial"/>
          <w:bCs/>
        </w:rPr>
      </w:pPr>
      <w:r w:rsidRPr="00B0692A">
        <w:rPr>
          <w:rFonts w:cs="Arial"/>
          <w:bCs/>
        </w:rPr>
        <w:t>En lo que se refiere a las entidades locales, la aportación principal es la del Excmo. Cabildo Insular de Tenerife con un 40% del total de aportaciones de las entidades locales de la Isla, y que este año asciende a 5.810.320,27 euros, de los que 5.264.374,77 euros corresponde a la aportación para gastos corrientes, y 545.945,50 euros a la aportación de capital.</w:t>
      </w:r>
    </w:p>
    <w:p w:rsidR="00B0692A" w:rsidRPr="00B0692A" w:rsidRDefault="00B0692A" w:rsidP="00B0692A">
      <w:pPr>
        <w:spacing w:line="300" w:lineRule="auto"/>
        <w:ind w:firstLine="709"/>
        <w:rPr>
          <w:rFonts w:cs="Arial"/>
          <w:bCs/>
        </w:rPr>
      </w:pPr>
    </w:p>
    <w:p w:rsidR="00B0692A" w:rsidRPr="00B0692A" w:rsidRDefault="00B0692A" w:rsidP="00B0692A">
      <w:pPr>
        <w:spacing w:line="300" w:lineRule="auto"/>
        <w:ind w:firstLine="709"/>
        <w:rPr>
          <w:rFonts w:cs="Arial"/>
          <w:bCs/>
        </w:rPr>
      </w:pPr>
      <w:r w:rsidRPr="00B0692A">
        <w:rPr>
          <w:rFonts w:cs="Arial"/>
          <w:bCs/>
        </w:rPr>
        <w:t>La aportación de los 31 ayuntamientos de la Isla de Tenerife asciende a 8.715.480,40 euros, distribuyéndose en tres bloques:</w:t>
      </w:r>
    </w:p>
    <w:p w:rsidR="00B0692A" w:rsidRPr="00B0692A" w:rsidRDefault="00B0692A" w:rsidP="00B0692A">
      <w:pPr>
        <w:spacing w:line="300" w:lineRule="auto"/>
        <w:ind w:firstLine="709"/>
        <w:rPr>
          <w:rFonts w:cs="Arial"/>
          <w:bCs/>
        </w:rPr>
      </w:pPr>
    </w:p>
    <w:p w:rsidR="00B0692A" w:rsidRPr="00B0692A" w:rsidRDefault="00B0692A" w:rsidP="00B0692A">
      <w:pPr>
        <w:pStyle w:val="Prrafodelista"/>
        <w:numPr>
          <w:ilvl w:val="0"/>
          <w:numId w:val="7"/>
        </w:numPr>
        <w:autoSpaceDE w:val="0"/>
        <w:autoSpaceDN w:val="0"/>
        <w:spacing w:after="0" w:line="300" w:lineRule="auto"/>
        <w:jc w:val="both"/>
        <w:rPr>
          <w:rFonts w:ascii="Arial" w:hAnsi="Arial" w:cs="Arial"/>
          <w:bCs/>
        </w:rPr>
      </w:pPr>
      <w:r w:rsidRPr="00B0692A">
        <w:rPr>
          <w:rFonts w:ascii="Arial" w:hAnsi="Arial" w:cs="Arial"/>
          <w:bCs/>
        </w:rPr>
        <w:t>Aportaciones de Ayuntamientos de más de 50.000 habitantes (40%), con un total de 5.810.320,27 euros, entre los que se incluyen Ayuntamiento de Santa Cruz de Tenerife con un 19% (2.759.902,13 euros), el Ayuntamiento de San Cristóbal de La Laguna con un 14% (2.033.612,09 euros) y Ayuntamiento de Arona con una aportación del 7% (1.016.806,05 euros).</w:t>
      </w:r>
    </w:p>
    <w:p w:rsidR="00B0692A" w:rsidRPr="00B0692A" w:rsidRDefault="00B0692A" w:rsidP="00B0692A">
      <w:pPr>
        <w:pStyle w:val="Prrafodelista"/>
        <w:numPr>
          <w:ilvl w:val="0"/>
          <w:numId w:val="7"/>
        </w:numPr>
        <w:autoSpaceDE w:val="0"/>
        <w:autoSpaceDN w:val="0"/>
        <w:spacing w:after="0" w:line="300" w:lineRule="auto"/>
        <w:jc w:val="both"/>
        <w:rPr>
          <w:rFonts w:ascii="Arial" w:hAnsi="Arial" w:cs="Arial"/>
          <w:bCs/>
        </w:rPr>
      </w:pPr>
      <w:r w:rsidRPr="00B0692A">
        <w:rPr>
          <w:rFonts w:ascii="Arial" w:hAnsi="Arial" w:cs="Arial"/>
          <w:bCs/>
        </w:rPr>
        <w:t>Aportaciones de Ayuntamientos entre 20.001 y 50.000 habitantes, con un 14% del total (2.033.612,09 euros).</w:t>
      </w:r>
    </w:p>
    <w:p w:rsidR="00B0692A" w:rsidRPr="00B0692A" w:rsidRDefault="00B0692A" w:rsidP="00B0692A">
      <w:pPr>
        <w:pStyle w:val="Prrafodelista"/>
        <w:numPr>
          <w:ilvl w:val="0"/>
          <w:numId w:val="7"/>
        </w:numPr>
        <w:autoSpaceDE w:val="0"/>
        <w:autoSpaceDN w:val="0"/>
        <w:spacing w:after="0" w:line="300" w:lineRule="auto"/>
        <w:jc w:val="both"/>
        <w:rPr>
          <w:rFonts w:ascii="Arial" w:hAnsi="Arial" w:cs="Arial"/>
          <w:bCs/>
        </w:rPr>
      </w:pPr>
      <w:r w:rsidRPr="00B0692A">
        <w:rPr>
          <w:rFonts w:ascii="Arial" w:hAnsi="Arial" w:cs="Arial"/>
          <w:bCs/>
        </w:rPr>
        <w:t xml:space="preserve">Aportaciones de los Ayuntamientos de 20.000 habitantes o menos, que se cifran en 871.548,04 euros. Dentro de este bloque están incluidos los cuatro ayuntamientos no consorciados de la Isla (Buenavista, La Matanza, La Victoria y El Tanque) que suman 116.659,78 euros. </w:t>
      </w:r>
    </w:p>
    <w:p w:rsidR="00B0692A" w:rsidRPr="00B0692A" w:rsidRDefault="00B0692A" w:rsidP="00B0692A">
      <w:pPr>
        <w:spacing w:before="120" w:line="300" w:lineRule="auto"/>
        <w:ind w:firstLine="709"/>
        <w:rPr>
          <w:rFonts w:cs="Arial"/>
          <w:bCs/>
        </w:rPr>
      </w:pPr>
      <w:r w:rsidRPr="00B0692A">
        <w:rPr>
          <w:rFonts w:cs="Arial"/>
          <w:bCs/>
        </w:rPr>
        <w:t>La aportación del Gobierno de Canarias para el 2018 es de 1.801.374,00 euros, la misma desde el año 2014.</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Cs/>
        </w:rPr>
      </w:pPr>
      <w:r w:rsidRPr="00B0692A">
        <w:rPr>
          <w:rFonts w:ascii="Arial" w:hAnsi="Arial" w:cs="Arial"/>
          <w:bCs/>
        </w:rPr>
        <w:t xml:space="preserve">El </w:t>
      </w:r>
      <w:r w:rsidRPr="00B0692A">
        <w:rPr>
          <w:rFonts w:ascii="Arial" w:hAnsi="Arial" w:cs="Arial"/>
          <w:b/>
          <w:bCs/>
        </w:rPr>
        <w:t>Capítulo V, Ingresos patrimoniales</w:t>
      </w:r>
    </w:p>
    <w:p w:rsidR="00B0692A" w:rsidRPr="00B0692A" w:rsidRDefault="00B0692A" w:rsidP="00B0692A">
      <w:pPr>
        <w:spacing w:before="120" w:line="300" w:lineRule="auto"/>
        <w:ind w:firstLine="720"/>
        <w:rPr>
          <w:rFonts w:cs="Arial"/>
          <w:bCs/>
        </w:rPr>
      </w:pPr>
      <w:r w:rsidRPr="00B0692A">
        <w:rPr>
          <w:rFonts w:cs="Arial"/>
          <w:bCs/>
        </w:rPr>
        <w:t xml:space="preserve">En este capítulo solo se recoge los intereses de las cuentas bancarias cuya estimación para este ejercicio se prevé en 2.500 euros, debido a la bajada del Euribor y de la disminución de los excedentes de tesorería materializados en imposiciones a plazo fijo (I.P.F.). </w:t>
      </w:r>
    </w:p>
    <w:p w:rsidR="00B0692A" w:rsidRPr="00B0692A" w:rsidRDefault="00B0692A" w:rsidP="00B0692A">
      <w:pPr>
        <w:spacing w:before="120" w:line="300" w:lineRule="auto"/>
        <w:ind w:firstLine="709"/>
        <w:rPr>
          <w:rFonts w:cs="Arial"/>
          <w:bCs/>
        </w:rPr>
      </w:pPr>
      <w:r w:rsidRPr="00B0692A">
        <w:rPr>
          <w:rFonts w:cs="Arial"/>
          <w:bCs/>
        </w:rPr>
        <w:t xml:space="preserve">Este Capítulo supone el </w:t>
      </w:r>
      <w:r w:rsidRPr="00B0692A">
        <w:rPr>
          <w:rFonts w:cs="Arial"/>
          <w:b/>
          <w:bCs/>
        </w:rPr>
        <w:t>0,01 %</w:t>
      </w:r>
      <w:r w:rsidRPr="00B0692A">
        <w:rPr>
          <w:rFonts w:cs="Arial"/>
          <w:bCs/>
        </w:rPr>
        <w:t xml:space="preserve"> del total del Presupuesto de ingresos.</w:t>
      </w:r>
    </w:p>
    <w:p w:rsidR="00B0692A" w:rsidRDefault="00B0692A" w:rsidP="00B0692A">
      <w:pPr>
        <w:spacing w:before="120" w:line="300" w:lineRule="auto"/>
        <w:ind w:firstLine="709"/>
        <w:rPr>
          <w:rFonts w:cs="Arial"/>
          <w:bCs/>
          <w:color w:val="FF0000"/>
        </w:rPr>
      </w:pPr>
    </w:p>
    <w:p w:rsidR="00B0692A" w:rsidRDefault="00B0692A">
      <w:pPr>
        <w:spacing w:after="200" w:line="276" w:lineRule="auto"/>
        <w:jc w:val="left"/>
        <w:rPr>
          <w:rFonts w:cs="Arial"/>
          <w:bCs/>
          <w:color w:val="FF0000"/>
        </w:rPr>
      </w:pPr>
      <w:r>
        <w:rPr>
          <w:rFonts w:cs="Arial"/>
          <w:bCs/>
          <w:color w:val="FF0000"/>
        </w:rPr>
        <w:br w:type="page"/>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Cs/>
        </w:rPr>
      </w:pPr>
      <w:r w:rsidRPr="00B0692A">
        <w:rPr>
          <w:rFonts w:ascii="Arial" w:hAnsi="Arial" w:cs="Arial"/>
          <w:bCs/>
        </w:rPr>
        <w:t xml:space="preserve">El </w:t>
      </w:r>
      <w:r w:rsidRPr="00B0692A">
        <w:rPr>
          <w:rFonts w:ascii="Arial" w:hAnsi="Arial" w:cs="Arial"/>
          <w:b/>
          <w:bCs/>
        </w:rPr>
        <w:t>Capítulo VII, Transferencias de capital</w:t>
      </w:r>
    </w:p>
    <w:p w:rsidR="00B0692A" w:rsidRPr="00B0692A" w:rsidRDefault="00B0692A" w:rsidP="00B0692A">
      <w:pPr>
        <w:spacing w:before="120" w:line="300" w:lineRule="auto"/>
        <w:ind w:firstLine="709"/>
        <w:rPr>
          <w:rFonts w:cs="Arial"/>
          <w:bCs/>
        </w:rPr>
      </w:pPr>
      <w:r w:rsidRPr="00B0692A">
        <w:rPr>
          <w:rFonts w:cs="Arial"/>
          <w:bCs/>
        </w:rPr>
        <w:t>Este capítulo, que se cifra en 2.650.025,50 euros de aportaciones de capital del Excmo. Cabildo de Tenerife, y que supone el 12,71% del total del Presupuesto de ingresos, está formado por dos cantidades:</w:t>
      </w:r>
    </w:p>
    <w:p w:rsidR="00B0692A" w:rsidRPr="00B0692A" w:rsidRDefault="00B0692A" w:rsidP="00B0692A">
      <w:pPr>
        <w:pStyle w:val="Prrafodelista"/>
        <w:numPr>
          <w:ilvl w:val="3"/>
          <w:numId w:val="7"/>
        </w:numPr>
        <w:tabs>
          <w:tab w:val="clear" w:pos="3240"/>
        </w:tabs>
        <w:autoSpaceDE w:val="0"/>
        <w:autoSpaceDN w:val="0"/>
        <w:spacing w:before="120" w:after="0" w:line="300" w:lineRule="auto"/>
        <w:ind w:left="1418" w:hanging="284"/>
        <w:jc w:val="both"/>
        <w:rPr>
          <w:rFonts w:ascii="Arial" w:hAnsi="Arial" w:cs="Arial"/>
          <w:bCs/>
        </w:rPr>
      </w:pPr>
      <w:r w:rsidRPr="00B0692A">
        <w:rPr>
          <w:rFonts w:ascii="Arial" w:hAnsi="Arial" w:cs="Arial"/>
          <w:bCs/>
        </w:rPr>
        <w:t>La primera, por importe de 545.945,50 euros, corresponde a parte del 40% con el que el Cabildo de Tenerife, según el artículo 30 de los Estatutos, participa en este Consorcio.</w:t>
      </w:r>
    </w:p>
    <w:p w:rsidR="00B0692A" w:rsidRPr="00B0692A" w:rsidRDefault="00B0692A" w:rsidP="00B0692A">
      <w:pPr>
        <w:pStyle w:val="Prrafodelista"/>
        <w:numPr>
          <w:ilvl w:val="3"/>
          <w:numId w:val="7"/>
        </w:numPr>
        <w:tabs>
          <w:tab w:val="clear" w:pos="3240"/>
        </w:tabs>
        <w:autoSpaceDE w:val="0"/>
        <w:autoSpaceDN w:val="0"/>
        <w:spacing w:before="120" w:after="0" w:line="300" w:lineRule="auto"/>
        <w:ind w:left="1418" w:hanging="284"/>
        <w:jc w:val="both"/>
        <w:rPr>
          <w:rFonts w:ascii="Arial" w:hAnsi="Arial" w:cs="Arial"/>
          <w:bCs/>
        </w:rPr>
      </w:pPr>
      <w:r w:rsidRPr="00B0692A">
        <w:rPr>
          <w:rFonts w:ascii="Arial" w:hAnsi="Arial" w:cs="Arial"/>
          <w:bCs/>
        </w:rPr>
        <w:t xml:space="preserve">La segunda, por importe de 2.104.080,00 euros, incluye el total de las inversiones presupuestadas para los dos nuevos Parques de Bomberos situados en los T.M. de Arona y de </w:t>
      </w:r>
      <w:proofErr w:type="spellStart"/>
      <w:r w:rsidRPr="00B0692A">
        <w:rPr>
          <w:rFonts w:ascii="Arial" w:hAnsi="Arial" w:cs="Arial"/>
          <w:bCs/>
        </w:rPr>
        <w:t>Güímar</w:t>
      </w:r>
      <w:proofErr w:type="spellEnd"/>
      <w:r w:rsidRPr="00B0692A">
        <w:rPr>
          <w:rFonts w:ascii="Arial" w:hAnsi="Arial" w:cs="Arial"/>
          <w:bCs/>
        </w:rPr>
        <w:t>, es decir, las rehabilitaciones de los edificios donde se van a ubicar, y los vehículos necesarios para el funcionamiento del servicio.</w:t>
      </w:r>
    </w:p>
    <w:p w:rsidR="00B0692A" w:rsidRPr="00B0692A" w:rsidRDefault="00B0692A" w:rsidP="00B0692A">
      <w:pPr>
        <w:spacing w:before="120" w:line="300" w:lineRule="auto"/>
        <w:rPr>
          <w:rFonts w:cs="Arial"/>
          <w:bCs/>
        </w:rPr>
      </w:pPr>
    </w:p>
    <w:p w:rsidR="00B0692A" w:rsidRPr="00B0692A" w:rsidRDefault="00B0692A" w:rsidP="00B0692A">
      <w:pPr>
        <w:pStyle w:val="Prrafodelista"/>
        <w:spacing w:before="120" w:line="300" w:lineRule="auto"/>
        <w:ind w:left="0" w:firstLine="567"/>
        <w:jc w:val="both"/>
        <w:rPr>
          <w:rFonts w:ascii="Arial" w:hAnsi="Arial" w:cs="Arial"/>
          <w:bCs/>
        </w:rPr>
      </w:pPr>
      <w:r w:rsidRPr="00B0692A">
        <w:rPr>
          <w:rFonts w:ascii="Arial" w:hAnsi="Arial" w:cs="Arial"/>
          <w:bCs/>
        </w:rPr>
        <w:t>Este capítulo ha incrementado con respecto al del ejercicio 2017 en un 197,04%, que en términos absolutos se cifra en 1.757.890,30 euros.</w:t>
      </w:r>
    </w:p>
    <w:p w:rsidR="00B0692A" w:rsidRPr="00B0692A" w:rsidRDefault="00B0692A" w:rsidP="00B0692A">
      <w:pPr>
        <w:pStyle w:val="Prrafodelista"/>
        <w:spacing w:before="120" w:line="300" w:lineRule="auto"/>
        <w:ind w:left="0" w:firstLine="709"/>
        <w:jc w:val="both"/>
        <w:rPr>
          <w:rFonts w:ascii="Arial" w:hAnsi="Arial" w:cs="Arial"/>
          <w:bCs/>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Cs/>
        </w:rPr>
      </w:pPr>
      <w:r w:rsidRPr="00B0692A">
        <w:rPr>
          <w:rFonts w:ascii="Arial" w:hAnsi="Arial" w:cs="Arial"/>
          <w:bCs/>
        </w:rPr>
        <w:t xml:space="preserve">El </w:t>
      </w:r>
      <w:r w:rsidRPr="00B0692A">
        <w:rPr>
          <w:rFonts w:ascii="Arial" w:hAnsi="Arial" w:cs="Arial"/>
          <w:b/>
          <w:bCs/>
          <w:i/>
        </w:rPr>
        <w:t>Capítulo VIII</w:t>
      </w:r>
      <w:r w:rsidRPr="00B0692A">
        <w:rPr>
          <w:rFonts w:ascii="Arial" w:hAnsi="Arial" w:cs="Arial"/>
          <w:bCs/>
        </w:rPr>
        <w:t xml:space="preserve">, </w:t>
      </w:r>
      <w:r w:rsidRPr="00B0692A">
        <w:rPr>
          <w:rFonts w:ascii="Arial" w:hAnsi="Arial" w:cs="Arial"/>
          <w:b/>
          <w:bCs/>
        </w:rPr>
        <w:t>Activos financieros</w:t>
      </w:r>
      <w:r w:rsidRPr="00B0692A">
        <w:rPr>
          <w:rFonts w:ascii="Arial" w:hAnsi="Arial" w:cs="Arial"/>
          <w:bCs/>
        </w:rPr>
        <w:t xml:space="preserve"> </w:t>
      </w:r>
    </w:p>
    <w:p w:rsidR="00B0692A" w:rsidRPr="00B0692A" w:rsidRDefault="00B0692A" w:rsidP="00B0692A">
      <w:pPr>
        <w:spacing w:before="120" w:line="300" w:lineRule="auto"/>
        <w:ind w:firstLine="709"/>
        <w:rPr>
          <w:rFonts w:cs="Arial"/>
          <w:bCs/>
        </w:rPr>
      </w:pPr>
      <w:r w:rsidRPr="00B0692A">
        <w:rPr>
          <w:rFonts w:cs="Arial"/>
          <w:bCs/>
        </w:rPr>
        <w:t>En el capítulo VIII solo se recoge los préstamos por anticipos al personal al que tienen derecho los trabajadores del Consorcio, y que se establecen en el acuerdo del personal funcionario y el convenio del personal laboral, que no experimenta variación alguna, y que se cifra en el 0,53% del total del presupuesto.</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spacing w:before="120" w:line="300" w:lineRule="auto"/>
        <w:ind w:firstLine="709"/>
        <w:rPr>
          <w:rFonts w:cs="Arial"/>
          <w:bCs/>
        </w:rPr>
      </w:pPr>
      <w:r w:rsidRPr="00B0692A">
        <w:rPr>
          <w:rFonts w:cs="Arial"/>
          <w:bCs/>
        </w:rPr>
        <w:t xml:space="preserve">El </w:t>
      </w:r>
      <w:r w:rsidRPr="00B0692A">
        <w:rPr>
          <w:rFonts w:cs="Arial"/>
          <w:b/>
          <w:bCs/>
          <w:u w:val="single"/>
        </w:rPr>
        <w:t>Presupuesto de Gastos</w:t>
      </w:r>
      <w:r w:rsidRPr="00B0692A">
        <w:rPr>
          <w:rFonts w:cs="Arial"/>
          <w:bCs/>
        </w:rPr>
        <w:t xml:space="preserve"> del Consorcio para el ejercicio 2018 es de </w:t>
      </w:r>
      <w:r w:rsidRPr="00B0692A">
        <w:rPr>
          <w:rFonts w:cs="Arial"/>
          <w:b/>
          <w:bCs/>
        </w:rPr>
        <w:t>20.843.754,67 euros</w:t>
      </w:r>
      <w:r w:rsidRPr="00B0692A">
        <w:rPr>
          <w:rFonts w:cs="Arial"/>
          <w:bCs/>
        </w:rPr>
        <w:t>, distribuyéndose de la siguiente forma atendiendo a la clasificación económica de los créditos:</w:t>
      </w:r>
    </w:p>
    <w:p w:rsidR="00B0692A" w:rsidRPr="00B0692A" w:rsidRDefault="00B0692A" w:rsidP="00B0692A">
      <w:pPr>
        <w:spacing w:before="120" w:line="300" w:lineRule="auto"/>
        <w:ind w:firstLine="709"/>
        <w:rPr>
          <w:rFonts w:cs="Arial"/>
          <w:bCs/>
          <w:color w:val="FF0000"/>
        </w:rPr>
      </w:pPr>
    </w:p>
    <w:tbl>
      <w:tblPr>
        <w:tblW w:w="9072" w:type="dxa"/>
        <w:jc w:val="center"/>
        <w:tblBorders>
          <w:top w:val="single" w:sz="12" w:space="0" w:color="000000"/>
          <w:bottom w:val="single" w:sz="12" w:space="0" w:color="000000"/>
        </w:tblBorders>
        <w:tblLayout w:type="fixed"/>
        <w:tblLook w:val="01E0"/>
      </w:tblPr>
      <w:tblGrid>
        <w:gridCol w:w="993"/>
        <w:gridCol w:w="3340"/>
        <w:gridCol w:w="1582"/>
        <w:gridCol w:w="1582"/>
        <w:gridCol w:w="1575"/>
      </w:tblGrid>
      <w:tr w:rsidR="00B0692A" w:rsidRPr="00B0692A" w:rsidTr="008735B7">
        <w:trPr>
          <w:trHeight w:val="510"/>
          <w:jc w:val="center"/>
        </w:trPr>
        <w:tc>
          <w:tcPr>
            <w:tcW w:w="993"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bCs/>
              </w:rPr>
            </w:pPr>
            <w:r w:rsidRPr="00B0692A">
              <w:rPr>
                <w:rFonts w:cs="Arial"/>
                <w:b/>
                <w:bCs/>
              </w:rPr>
              <w:t>Capítulo</w:t>
            </w:r>
          </w:p>
        </w:tc>
        <w:tc>
          <w:tcPr>
            <w:tcW w:w="3340"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rPr>
            </w:pPr>
            <w:r w:rsidRPr="00B0692A">
              <w:rPr>
                <w:rFonts w:cs="Arial"/>
                <w:b/>
              </w:rPr>
              <w:t>Descripción</w:t>
            </w:r>
          </w:p>
        </w:tc>
        <w:tc>
          <w:tcPr>
            <w:tcW w:w="1582"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rPr>
            </w:pPr>
            <w:r w:rsidRPr="00B0692A">
              <w:rPr>
                <w:rFonts w:cs="Arial"/>
                <w:b/>
              </w:rPr>
              <w:t>2018</w:t>
            </w:r>
          </w:p>
        </w:tc>
        <w:tc>
          <w:tcPr>
            <w:tcW w:w="1582" w:type="dxa"/>
            <w:tcBorders>
              <w:top w:val="single" w:sz="12" w:space="0" w:color="000000"/>
              <w:bottom w:val="single" w:sz="6" w:space="0" w:color="000000"/>
            </w:tcBorders>
          </w:tcPr>
          <w:p w:rsidR="00B0692A" w:rsidRPr="00B0692A" w:rsidRDefault="00B0692A" w:rsidP="00B0692A">
            <w:pPr>
              <w:spacing w:before="120" w:line="300" w:lineRule="auto"/>
              <w:rPr>
                <w:rFonts w:cs="Arial"/>
                <w:b/>
              </w:rPr>
            </w:pPr>
            <w:r w:rsidRPr="00B0692A">
              <w:rPr>
                <w:rFonts w:cs="Arial"/>
                <w:b/>
              </w:rPr>
              <w:t>2017</w:t>
            </w:r>
          </w:p>
        </w:tc>
        <w:tc>
          <w:tcPr>
            <w:tcW w:w="1575" w:type="dxa"/>
            <w:tcBorders>
              <w:top w:val="single" w:sz="12" w:space="0" w:color="000000"/>
              <w:bottom w:val="single" w:sz="6" w:space="0" w:color="000000"/>
            </w:tcBorders>
            <w:shd w:val="clear" w:color="auto" w:fill="auto"/>
          </w:tcPr>
          <w:p w:rsidR="00B0692A" w:rsidRPr="00B0692A" w:rsidRDefault="00B0692A" w:rsidP="00B0692A">
            <w:pPr>
              <w:spacing w:before="120" w:line="300" w:lineRule="auto"/>
              <w:rPr>
                <w:rFonts w:cs="Arial"/>
                <w:b/>
              </w:rPr>
            </w:pPr>
            <w:r w:rsidRPr="00B0692A">
              <w:rPr>
                <w:rFonts w:cs="Arial"/>
                <w:b/>
              </w:rPr>
              <w:t>Variación</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I</w:t>
            </w:r>
          </w:p>
        </w:tc>
        <w:tc>
          <w:tcPr>
            <w:tcW w:w="3340" w:type="dxa"/>
          </w:tcPr>
          <w:p w:rsidR="00B0692A" w:rsidRPr="00B0692A" w:rsidRDefault="00B0692A" w:rsidP="00B0692A">
            <w:pPr>
              <w:spacing w:before="120" w:line="300" w:lineRule="auto"/>
              <w:rPr>
                <w:rFonts w:cs="Arial"/>
              </w:rPr>
            </w:pPr>
            <w:r w:rsidRPr="00B0692A">
              <w:rPr>
                <w:rFonts w:cs="Arial"/>
              </w:rPr>
              <w:t>Gastos de personal</w:t>
            </w:r>
          </w:p>
        </w:tc>
        <w:tc>
          <w:tcPr>
            <w:tcW w:w="1582" w:type="dxa"/>
            <w:vAlign w:val="center"/>
          </w:tcPr>
          <w:p w:rsidR="00B0692A" w:rsidRPr="00B0692A" w:rsidRDefault="00B0692A" w:rsidP="00B0692A">
            <w:pPr>
              <w:rPr>
                <w:rFonts w:cs="Arial"/>
              </w:rPr>
            </w:pPr>
            <w:r w:rsidRPr="00B0692A">
              <w:rPr>
                <w:rFonts w:cs="Arial"/>
              </w:rPr>
              <w:t>14.752.264,67</w:t>
            </w:r>
          </w:p>
        </w:tc>
        <w:tc>
          <w:tcPr>
            <w:tcW w:w="1582" w:type="dxa"/>
          </w:tcPr>
          <w:p w:rsidR="00B0692A" w:rsidRPr="00B0692A" w:rsidRDefault="00B0692A" w:rsidP="00B0692A">
            <w:pPr>
              <w:spacing w:before="120" w:line="300" w:lineRule="auto"/>
              <w:rPr>
                <w:rFonts w:cs="Arial"/>
              </w:rPr>
            </w:pPr>
            <w:r w:rsidRPr="00B0692A">
              <w:rPr>
                <w:rFonts w:cs="Arial"/>
              </w:rPr>
              <w:t>14.468.077,22</w:t>
            </w:r>
          </w:p>
        </w:tc>
        <w:tc>
          <w:tcPr>
            <w:tcW w:w="1575" w:type="dxa"/>
            <w:vAlign w:val="center"/>
          </w:tcPr>
          <w:p w:rsidR="00B0692A" w:rsidRPr="00B0692A" w:rsidRDefault="00B0692A" w:rsidP="00B0692A">
            <w:pPr>
              <w:rPr>
                <w:rFonts w:cs="Arial"/>
              </w:rPr>
            </w:pPr>
            <w:r w:rsidRPr="00B0692A">
              <w:rPr>
                <w:rFonts w:cs="Arial"/>
              </w:rPr>
              <w:t>1,96%</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II</w:t>
            </w:r>
          </w:p>
        </w:tc>
        <w:tc>
          <w:tcPr>
            <w:tcW w:w="3340" w:type="dxa"/>
          </w:tcPr>
          <w:p w:rsidR="00B0692A" w:rsidRPr="00B0692A" w:rsidRDefault="00B0692A" w:rsidP="00B0692A">
            <w:pPr>
              <w:spacing w:before="120" w:line="300" w:lineRule="auto"/>
              <w:rPr>
                <w:rFonts w:cs="Arial"/>
              </w:rPr>
            </w:pPr>
            <w:r w:rsidRPr="00B0692A">
              <w:rPr>
                <w:rFonts w:cs="Arial"/>
              </w:rPr>
              <w:t>Gastos bienes corrientes, servicios</w:t>
            </w:r>
          </w:p>
        </w:tc>
        <w:tc>
          <w:tcPr>
            <w:tcW w:w="1582" w:type="dxa"/>
            <w:vAlign w:val="center"/>
          </w:tcPr>
          <w:p w:rsidR="00B0692A" w:rsidRPr="00B0692A" w:rsidRDefault="00B0692A" w:rsidP="00B0692A">
            <w:pPr>
              <w:rPr>
                <w:rFonts w:cs="Arial"/>
              </w:rPr>
            </w:pPr>
            <w:r w:rsidRPr="00B0692A">
              <w:rPr>
                <w:rFonts w:cs="Arial"/>
              </w:rPr>
              <w:t>1.983.045,00</w:t>
            </w:r>
          </w:p>
        </w:tc>
        <w:tc>
          <w:tcPr>
            <w:tcW w:w="1582" w:type="dxa"/>
          </w:tcPr>
          <w:p w:rsidR="00B0692A" w:rsidRPr="00B0692A" w:rsidRDefault="00B0692A" w:rsidP="00B0692A">
            <w:pPr>
              <w:spacing w:before="120" w:line="300" w:lineRule="auto"/>
              <w:rPr>
                <w:rFonts w:cs="Arial"/>
              </w:rPr>
            </w:pPr>
            <w:r w:rsidRPr="00B0692A">
              <w:rPr>
                <w:rFonts w:cs="Arial"/>
              </w:rPr>
              <w:t>1.777.761,85</w:t>
            </w:r>
          </w:p>
        </w:tc>
        <w:tc>
          <w:tcPr>
            <w:tcW w:w="1575" w:type="dxa"/>
            <w:vAlign w:val="center"/>
          </w:tcPr>
          <w:p w:rsidR="00B0692A" w:rsidRPr="00B0692A" w:rsidRDefault="00B0692A" w:rsidP="00B0692A">
            <w:pPr>
              <w:rPr>
                <w:rFonts w:cs="Arial"/>
              </w:rPr>
            </w:pPr>
            <w:r w:rsidRPr="00B0692A">
              <w:rPr>
                <w:rFonts w:cs="Arial"/>
              </w:rPr>
              <w:t>11,55%</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lastRenderedPageBreak/>
              <w:t>III</w:t>
            </w:r>
          </w:p>
        </w:tc>
        <w:tc>
          <w:tcPr>
            <w:tcW w:w="3340" w:type="dxa"/>
          </w:tcPr>
          <w:p w:rsidR="00B0692A" w:rsidRPr="00B0692A" w:rsidRDefault="00B0692A" w:rsidP="00B0692A">
            <w:pPr>
              <w:spacing w:before="120" w:line="300" w:lineRule="auto"/>
              <w:rPr>
                <w:rFonts w:cs="Arial"/>
              </w:rPr>
            </w:pPr>
            <w:r w:rsidRPr="00B0692A">
              <w:rPr>
                <w:rFonts w:cs="Arial"/>
              </w:rPr>
              <w:t>Gastos financieros</w:t>
            </w:r>
          </w:p>
        </w:tc>
        <w:tc>
          <w:tcPr>
            <w:tcW w:w="1582" w:type="dxa"/>
            <w:vAlign w:val="center"/>
          </w:tcPr>
          <w:p w:rsidR="00B0692A" w:rsidRPr="00B0692A" w:rsidRDefault="00B0692A" w:rsidP="00B0692A">
            <w:pPr>
              <w:rPr>
                <w:rFonts w:cs="Arial"/>
              </w:rPr>
            </w:pPr>
            <w:r w:rsidRPr="00B0692A">
              <w:rPr>
                <w:rFonts w:cs="Arial"/>
              </w:rPr>
              <w:t>1.560,00</w:t>
            </w:r>
          </w:p>
        </w:tc>
        <w:tc>
          <w:tcPr>
            <w:tcW w:w="1582" w:type="dxa"/>
          </w:tcPr>
          <w:p w:rsidR="00B0692A" w:rsidRPr="00B0692A" w:rsidRDefault="00B0692A" w:rsidP="00B0692A">
            <w:pPr>
              <w:spacing w:before="120" w:line="300" w:lineRule="auto"/>
              <w:rPr>
                <w:rFonts w:cs="Arial"/>
              </w:rPr>
            </w:pPr>
            <w:r w:rsidRPr="00B0692A">
              <w:rPr>
                <w:rFonts w:cs="Arial"/>
              </w:rPr>
              <w:t>1.560,00</w:t>
            </w:r>
          </w:p>
        </w:tc>
        <w:tc>
          <w:tcPr>
            <w:tcW w:w="1575" w:type="dxa"/>
            <w:vAlign w:val="center"/>
          </w:tcPr>
          <w:p w:rsidR="00B0692A" w:rsidRPr="00B0692A" w:rsidRDefault="00B0692A" w:rsidP="00B0692A">
            <w:pPr>
              <w:rPr>
                <w:rFonts w:cs="Arial"/>
              </w:rPr>
            </w:pPr>
            <w:r w:rsidRPr="00B0692A">
              <w:rPr>
                <w:rFonts w:cs="Arial"/>
              </w:rPr>
              <w:t>0,00%</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IV</w:t>
            </w:r>
          </w:p>
        </w:tc>
        <w:tc>
          <w:tcPr>
            <w:tcW w:w="3340" w:type="dxa"/>
          </w:tcPr>
          <w:p w:rsidR="00B0692A" w:rsidRPr="00B0692A" w:rsidRDefault="00B0692A" w:rsidP="00B0692A">
            <w:pPr>
              <w:spacing w:before="120" w:line="300" w:lineRule="auto"/>
              <w:rPr>
                <w:rFonts w:cs="Arial"/>
              </w:rPr>
            </w:pPr>
            <w:r w:rsidRPr="00B0692A">
              <w:rPr>
                <w:rFonts w:cs="Arial"/>
              </w:rPr>
              <w:t>Transferencias corrientes</w:t>
            </w:r>
          </w:p>
        </w:tc>
        <w:tc>
          <w:tcPr>
            <w:tcW w:w="1582" w:type="dxa"/>
            <w:vAlign w:val="center"/>
          </w:tcPr>
          <w:p w:rsidR="00B0692A" w:rsidRPr="00B0692A" w:rsidRDefault="00B0692A" w:rsidP="00B0692A">
            <w:pPr>
              <w:rPr>
                <w:rFonts w:cs="Arial"/>
              </w:rPr>
            </w:pPr>
            <w:r w:rsidRPr="00B0692A">
              <w:rPr>
                <w:rFonts w:cs="Arial"/>
              </w:rPr>
              <w:t>242.000,00</w:t>
            </w:r>
          </w:p>
        </w:tc>
        <w:tc>
          <w:tcPr>
            <w:tcW w:w="1582" w:type="dxa"/>
          </w:tcPr>
          <w:p w:rsidR="00B0692A" w:rsidRPr="00B0692A" w:rsidRDefault="00B0692A" w:rsidP="00B0692A">
            <w:pPr>
              <w:spacing w:before="120" w:line="300" w:lineRule="auto"/>
              <w:rPr>
                <w:rFonts w:cs="Arial"/>
              </w:rPr>
            </w:pPr>
            <w:r w:rsidRPr="00B0692A">
              <w:rPr>
                <w:rFonts w:cs="Arial"/>
              </w:rPr>
              <w:t>9.000,00</w:t>
            </w:r>
          </w:p>
        </w:tc>
        <w:tc>
          <w:tcPr>
            <w:tcW w:w="1575" w:type="dxa"/>
            <w:vAlign w:val="center"/>
          </w:tcPr>
          <w:p w:rsidR="00B0692A" w:rsidRPr="00B0692A" w:rsidRDefault="00B0692A" w:rsidP="00B0692A">
            <w:pPr>
              <w:rPr>
                <w:rFonts w:cs="Arial"/>
              </w:rPr>
            </w:pPr>
            <w:r w:rsidRPr="00B0692A">
              <w:rPr>
                <w:rFonts w:cs="Arial"/>
              </w:rPr>
              <w:t>2588,89%</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VI</w:t>
            </w:r>
          </w:p>
        </w:tc>
        <w:tc>
          <w:tcPr>
            <w:tcW w:w="3340" w:type="dxa"/>
          </w:tcPr>
          <w:p w:rsidR="00B0692A" w:rsidRPr="00B0692A" w:rsidRDefault="00B0692A" w:rsidP="00B0692A">
            <w:pPr>
              <w:spacing w:before="120" w:line="300" w:lineRule="auto"/>
              <w:rPr>
                <w:rFonts w:cs="Arial"/>
              </w:rPr>
            </w:pPr>
            <w:r w:rsidRPr="00B0692A">
              <w:rPr>
                <w:rFonts w:cs="Arial"/>
              </w:rPr>
              <w:t>Inversiones Reales</w:t>
            </w:r>
          </w:p>
        </w:tc>
        <w:tc>
          <w:tcPr>
            <w:tcW w:w="1582" w:type="dxa"/>
            <w:vAlign w:val="center"/>
          </w:tcPr>
          <w:p w:rsidR="00B0692A" w:rsidRPr="00B0692A" w:rsidRDefault="00B0692A" w:rsidP="00B0692A">
            <w:pPr>
              <w:rPr>
                <w:rFonts w:cs="Arial"/>
              </w:rPr>
            </w:pPr>
            <w:r w:rsidRPr="00B0692A">
              <w:rPr>
                <w:rFonts w:cs="Arial"/>
              </w:rPr>
              <w:t>3.634.885,00</w:t>
            </w:r>
          </w:p>
        </w:tc>
        <w:tc>
          <w:tcPr>
            <w:tcW w:w="1582" w:type="dxa"/>
          </w:tcPr>
          <w:p w:rsidR="00B0692A" w:rsidRPr="00B0692A" w:rsidRDefault="00B0692A" w:rsidP="00B0692A">
            <w:pPr>
              <w:spacing w:before="120" w:line="300" w:lineRule="auto"/>
              <w:rPr>
                <w:rFonts w:cs="Arial"/>
              </w:rPr>
            </w:pPr>
            <w:r w:rsidRPr="00B0692A">
              <w:rPr>
                <w:rFonts w:cs="Arial"/>
              </w:rPr>
              <w:t>2.230.338,00</w:t>
            </w:r>
          </w:p>
        </w:tc>
        <w:tc>
          <w:tcPr>
            <w:tcW w:w="1575" w:type="dxa"/>
            <w:vAlign w:val="center"/>
          </w:tcPr>
          <w:p w:rsidR="00B0692A" w:rsidRPr="00B0692A" w:rsidRDefault="00B0692A" w:rsidP="00B0692A">
            <w:pPr>
              <w:rPr>
                <w:rFonts w:cs="Arial"/>
              </w:rPr>
            </w:pPr>
            <w:r w:rsidRPr="00B0692A">
              <w:rPr>
                <w:rFonts w:cs="Arial"/>
              </w:rPr>
              <w:t>62,97%</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VII</w:t>
            </w:r>
          </w:p>
        </w:tc>
        <w:tc>
          <w:tcPr>
            <w:tcW w:w="3340" w:type="dxa"/>
          </w:tcPr>
          <w:p w:rsidR="00B0692A" w:rsidRPr="00B0692A" w:rsidRDefault="00B0692A" w:rsidP="00B0692A">
            <w:pPr>
              <w:spacing w:before="120" w:line="300" w:lineRule="auto"/>
              <w:rPr>
                <w:rFonts w:cs="Arial"/>
              </w:rPr>
            </w:pPr>
            <w:r w:rsidRPr="00B0692A">
              <w:rPr>
                <w:rFonts w:cs="Arial"/>
              </w:rPr>
              <w:t>Transferencias de capital</w:t>
            </w:r>
          </w:p>
        </w:tc>
        <w:tc>
          <w:tcPr>
            <w:tcW w:w="1582" w:type="dxa"/>
            <w:vAlign w:val="center"/>
          </w:tcPr>
          <w:p w:rsidR="00B0692A" w:rsidRPr="00B0692A" w:rsidRDefault="00B0692A" w:rsidP="00B0692A">
            <w:pPr>
              <w:rPr>
                <w:rFonts w:cs="Arial"/>
              </w:rPr>
            </w:pPr>
            <w:r w:rsidRPr="00B0692A">
              <w:rPr>
                <w:rFonts w:cs="Arial"/>
              </w:rPr>
              <w:t>120.000,00</w:t>
            </w:r>
          </w:p>
        </w:tc>
        <w:tc>
          <w:tcPr>
            <w:tcW w:w="1582" w:type="dxa"/>
          </w:tcPr>
          <w:p w:rsidR="00B0692A" w:rsidRPr="00B0692A" w:rsidRDefault="00B0692A" w:rsidP="00B0692A">
            <w:pPr>
              <w:spacing w:before="120" w:line="300" w:lineRule="auto"/>
              <w:rPr>
                <w:rFonts w:cs="Arial"/>
              </w:rPr>
            </w:pPr>
            <w:r w:rsidRPr="00B0692A">
              <w:rPr>
                <w:rFonts w:cs="Arial"/>
              </w:rPr>
              <w:t>-</w:t>
            </w:r>
          </w:p>
        </w:tc>
        <w:tc>
          <w:tcPr>
            <w:tcW w:w="1575" w:type="dxa"/>
            <w:vAlign w:val="center"/>
          </w:tcPr>
          <w:p w:rsidR="00B0692A" w:rsidRPr="00B0692A" w:rsidRDefault="00B0692A" w:rsidP="00B0692A">
            <w:pPr>
              <w:rPr>
                <w:rFonts w:cs="Arial"/>
              </w:rPr>
            </w:pPr>
            <w:r w:rsidRPr="00B0692A">
              <w:rPr>
                <w:rFonts w:cs="Arial"/>
              </w:rPr>
              <w:t>- %</w:t>
            </w:r>
          </w:p>
        </w:tc>
      </w:tr>
      <w:tr w:rsidR="00B0692A" w:rsidRPr="00B0692A" w:rsidTr="008735B7">
        <w:trPr>
          <w:trHeight w:val="510"/>
          <w:jc w:val="center"/>
        </w:trPr>
        <w:tc>
          <w:tcPr>
            <w:tcW w:w="993" w:type="dxa"/>
            <w:shd w:val="solid" w:color="C0C0C0" w:fill="FFFFFF"/>
          </w:tcPr>
          <w:p w:rsidR="00B0692A" w:rsidRPr="00B0692A" w:rsidRDefault="00B0692A" w:rsidP="00B0692A">
            <w:pPr>
              <w:spacing w:before="120" w:line="300" w:lineRule="auto"/>
              <w:ind w:left="142"/>
              <w:rPr>
                <w:rFonts w:cs="Arial"/>
                <w:b/>
                <w:bCs/>
              </w:rPr>
            </w:pPr>
            <w:r w:rsidRPr="00B0692A">
              <w:rPr>
                <w:rFonts w:cs="Arial"/>
                <w:b/>
                <w:bCs/>
              </w:rPr>
              <w:t>VIII</w:t>
            </w:r>
          </w:p>
        </w:tc>
        <w:tc>
          <w:tcPr>
            <w:tcW w:w="3340" w:type="dxa"/>
          </w:tcPr>
          <w:p w:rsidR="00B0692A" w:rsidRPr="00B0692A" w:rsidRDefault="00B0692A" w:rsidP="00B0692A">
            <w:pPr>
              <w:spacing w:before="120" w:line="300" w:lineRule="auto"/>
              <w:rPr>
                <w:rFonts w:cs="Arial"/>
              </w:rPr>
            </w:pPr>
            <w:r w:rsidRPr="00B0692A">
              <w:rPr>
                <w:rFonts w:cs="Arial"/>
              </w:rPr>
              <w:t>Activos financieros</w:t>
            </w:r>
          </w:p>
        </w:tc>
        <w:tc>
          <w:tcPr>
            <w:tcW w:w="1582" w:type="dxa"/>
            <w:vAlign w:val="center"/>
          </w:tcPr>
          <w:p w:rsidR="00B0692A" w:rsidRPr="00B0692A" w:rsidRDefault="00B0692A" w:rsidP="00B0692A">
            <w:pPr>
              <w:rPr>
                <w:rFonts w:cs="Arial"/>
              </w:rPr>
            </w:pPr>
            <w:r w:rsidRPr="00B0692A">
              <w:rPr>
                <w:rFonts w:cs="Arial"/>
              </w:rPr>
              <w:t>110.000,00</w:t>
            </w:r>
          </w:p>
        </w:tc>
        <w:tc>
          <w:tcPr>
            <w:tcW w:w="1582" w:type="dxa"/>
          </w:tcPr>
          <w:p w:rsidR="00B0692A" w:rsidRPr="00B0692A" w:rsidRDefault="00B0692A" w:rsidP="00B0692A">
            <w:pPr>
              <w:spacing w:before="120" w:line="300" w:lineRule="auto"/>
              <w:rPr>
                <w:rFonts w:cs="Arial"/>
              </w:rPr>
            </w:pPr>
            <w:r w:rsidRPr="00B0692A">
              <w:rPr>
                <w:rFonts w:cs="Arial"/>
              </w:rPr>
              <w:t>110.000,00</w:t>
            </w:r>
          </w:p>
        </w:tc>
        <w:tc>
          <w:tcPr>
            <w:tcW w:w="1575" w:type="dxa"/>
            <w:vAlign w:val="center"/>
          </w:tcPr>
          <w:p w:rsidR="00B0692A" w:rsidRPr="00B0692A" w:rsidRDefault="00B0692A" w:rsidP="00B0692A">
            <w:pPr>
              <w:rPr>
                <w:rFonts w:cs="Arial"/>
              </w:rPr>
            </w:pPr>
            <w:r w:rsidRPr="00B0692A">
              <w:rPr>
                <w:rFonts w:cs="Arial"/>
              </w:rPr>
              <w:t>0,00%</w:t>
            </w:r>
          </w:p>
        </w:tc>
      </w:tr>
      <w:tr w:rsidR="00B0692A" w:rsidRPr="00B0692A" w:rsidTr="008735B7">
        <w:trPr>
          <w:trHeight w:val="510"/>
          <w:jc w:val="center"/>
        </w:trPr>
        <w:tc>
          <w:tcPr>
            <w:tcW w:w="993" w:type="dxa"/>
            <w:tcBorders>
              <w:top w:val="single" w:sz="6" w:space="0" w:color="000000"/>
              <w:bottom w:val="single" w:sz="12" w:space="0" w:color="000000"/>
            </w:tcBorders>
            <w:shd w:val="solid" w:color="C0C0C0" w:fill="FFFFFF"/>
          </w:tcPr>
          <w:p w:rsidR="00B0692A" w:rsidRPr="00B0692A" w:rsidRDefault="00B0692A" w:rsidP="00B0692A">
            <w:pPr>
              <w:spacing w:before="120" w:line="300" w:lineRule="auto"/>
              <w:rPr>
                <w:rFonts w:cs="Arial"/>
                <w:b/>
                <w:bCs/>
              </w:rPr>
            </w:pPr>
          </w:p>
        </w:tc>
        <w:tc>
          <w:tcPr>
            <w:tcW w:w="3340" w:type="dxa"/>
            <w:tcBorders>
              <w:top w:val="single" w:sz="6" w:space="0" w:color="000000"/>
              <w:bottom w:val="single" w:sz="12" w:space="0" w:color="000000"/>
            </w:tcBorders>
          </w:tcPr>
          <w:p w:rsidR="00B0692A" w:rsidRPr="00B0692A" w:rsidRDefault="00B0692A" w:rsidP="00B0692A">
            <w:pPr>
              <w:spacing w:before="120" w:line="300" w:lineRule="auto"/>
              <w:rPr>
                <w:rFonts w:cs="Arial"/>
                <w:b/>
              </w:rPr>
            </w:pPr>
            <w:r w:rsidRPr="00B0692A">
              <w:rPr>
                <w:rFonts w:cs="Arial"/>
                <w:b/>
              </w:rPr>
              <w:t>TOTAL ESTADO GASTOS</w:t>
            </w:r>
          </w:p>
        </w:tc>
        <w:tc>
          <w:tcPr>
            <w:tcW w:w="1582" w:type="dxa"/>
            <w:tcBorders>
              <w:top w:val="single" w:sz="6" w:space="0" w:color="000000"/>
              <w:bottom w:val="single" w:sz="12" w:space="0" w:color="000000"/>
            </w:tcBorders>
            <w:vAlign w:val="center"/>
          </w:tcPr>
          <w:p w:rsidR="00B0692A" w:rsidRPr="00B0692A" w:rsidRDefault="00B0692A" w:rsidP="00B0692A">
            <w:pPr>
              <w:rPr>
                <w:rFonts w:cs="Arial"/>
                <w:b/>
                <w:bCs/>
              </w:rPr>
            </w:pPr>
            <w:r w:rsidRPr="00B0692A">
              <w:rPr>
                <w:rFonts w:cs="Arial"/>
                <w:b/>
                <w:bCs/>
              </w:rPr>
              <w:t>20.843.754,67</w:t>
            </w:r>
          </w:p>
        </w:tc>
        <w:tc>
          <w:tcPr>
            <w:tcW w:w="1582" w:type="dxa"/>
            <w:tcBorders>
              <w:top w:val="single" w:sz="6" w:space="0" w:color="000000"/>
              <w:bottom w:val="single" w:sz="12" w:space="0" w:color="000000"/>
            </w:tcBorders>
          </w:tcPr>
          <w:p w:rsidR="00B0692A" w:rsidRPr="00B0692A" w:rsidRDefault="00B0692A" w:rsidP="00B0692A">
            <w:pPr>
              <w:spacing w:before="120" w:line="300" w:lineRule="auto"/>
              <w:rPr>
                <w:rFonts w:cs="Arial"/>
                <w:b/>
              </w:rPr>
            </w:pPr>
            <w:r w:rsidRPr="00B0692A">
              <w:rPr>
                <w:rFonts w:cs="Arial"/>
                <w:b/>
              </w:rPr>
              <w:t>18.596.737,07</w:t>
            </w:r>
          </w:p>
        </w:tc>
        <w:tc>
          <w:tcPr>
            <w:tcW w:w="1575" w:type="dxa"/>
            <w:tcBorders>
              <w:top w:val="single" w:sz="6" w:space="0" w:color="000000"/>
              <w:bottom w:val="single" w:sz="12" w:space="0" w:color="000000"/>
            </w:tcBorders>
            <w:vAlign w:val="center"/>
          </w:tcPr>
          <w:p w:rsidR="00B0692A" w:rsidRPr="00B0692A" w:rsidRDefault="00B0692A" w:rsidP="00B0692A">
            <w:pPr>
              <w:rPr>
                <w:rFonts w:cs="Arial"/>
                <w:b/>
                <w:bCs/>
              </w:rPr>
            </w:pPr>
            <w:r w:rsidRPr="00B0692A">
              <w:rPr>
                <w:rFonts w:cs="Arial"/>
                <w:b/>
                <w:bCs/>
              </w:rPr>
              <w:t>12,08%</w:t>
            </w:r>
          </w:p>
        </w:tc>
      </w:tr>
    </w:tbl>
    <w:p w:rsidR="00B0692A" w:rsidRPr="00B0692A" w:rsidRDefault="00B0692A" w:rsidP="00B0692A">
      <w:pPr>
        <w:spacing w:before="120" w:line="300" w:lineRule="auto"/>
        <w:ind w:firstLine="709"/>
        <w:rPr>
          <w:rFonts w:cs="Arial"/>
          <w:bCs/>
          <w:color w:val="FF0000"/>
        </w:rPr>
      </w:pPr>
    </w:p>
    <w:p w:rsidR="00B0692A" w:rsidRPr="00B0692A" w:rsidRDefault="00B0692A" w:rsidP="00B0692A">
      <w:pPr>
        <w:spacing w:before="120" w:line="300" w:lineRule="auto"/>
        <w:ind w:firstLine="709"/>
        <w:rPr>
          <w:rFonts w:cs="Arial"/>
          <w:bCs/>
        </w:rPr>
      </w:pPr>
      <w:r w:rsidRPr="00B0692A">
        <w:rPr>
          <w:rFonts w:cs="Arial"/>
          <w:bCs/>
        </w:rPr>
        <w:t xml:space="preserve">Para el 2018 se produce un incremento de un 12,08% del presupuesto de gastos, lo que en términos absolutos se traduce en 2.247.017,60 euros. </w:t>
      </w:r>
    </w:p>
    <w:p w:rsidR="00B0692A" w:rsidRPr="00B0692A" w:rsidRDefault="00B0692A" w:rsidP="00B0692A">
      <w:pPr>
        <w:spacing w:before="120" w:line="300" w:lineRule="auto"/>
        <w:ind w:firstLine="709"/>
        <w:rPr>
          <w:rFonts w:cs="Arial"/>
          <w:bCs/>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
          <w:bCs/>
          <w:i/>
          <w:sz w:val="24"/>
          <w:szCs w:val="24"/>
        </w:rPr>
      </w:pPr>
      <w:r w:rsidRPr="00B0692A">
        <w:rPr>
          <w:rFonts w:ascii="Arial" w:hAnsi="Arial" w:cs="Arial"/>
          <w:b/>
          <w:bCs/>
          <w:i/>
        </w:rPr>
        <w:t>Capítulo I</w:t>
      </w:r>
      <w:r w:rsidRPr="00B0692A">
        <w:rPr>
          <w:rFonts w:ascii="Arial" w:hAnsi="Arial" w:cs="Arial"/>
          <w:bCs/>
          <w:i/>
        </w:rPr>
        <w:t xml:space="preserve">, </w:t>
      </w:r>
      <w:r w:rsidRPr="00B0692A">
        <w:rPr>
          <w:rFonts w:ascii="Arial" w:hAnsi="Arial" w:cs="Arial"/>
          <w:b/>
          <w:bCs/>
          <w:i/>
        </w:rPr>
        <w:t>Gastos de personal.</w:t>
      </w:r>
    </w:p>
    <w:p w:rsidR="00B0692A" w:rsidRPr="00B0692A" w:rsidRDefault="00B0692A" w:rsidP="00B0692A">
      <w:pPr>
        <w:spacing w:before="120" w:line="300" w:lineRule="auto"/>
        <w:ind w:firstLine="709"/>
        <w:rPr>
          <w:rFonts w:cs="Arial"/>
          <w:bCs/>
        </w:rPr>
      </w:pPr>
      <w:r w:rsidRPr="00B0692A">
        <w:rPr>
          <w:rFonts w:cs="Arial"/>
          <w:bCs/>
        </w:rPr>
        <w:t xml:space="preserve">El capítulo I del Consorcio de Bomberos supone el </w:t>
      </w:r>
      <w:r w:rsidRPr="00B0692A">
        <w:rPr>
          <w:rFonts w:cs="Arial"/>
          <w:b/>
          <w:bCs/>
        </w:rPr>
        <w:t>70,78%</w:t>
      </w:r>
      <w:r w:rsidRPr="00B0692A">
        <w:rPr>
          <w:rFonts w:cs="Arial"/>
          <w:bCs/>
        </w:rPr>
        <w:t xml:space="preserve"> del presupuesto global, ascendiendo a</w:t>
      </w:r>
      <w:r w:rsidRPr="00B0692A">
        <w:rPr>
          <w:rFonts w:cs="Arial"/>
          <w:b/>
          <w:bCs/>
        </w:rPr>
        <w:t xml:space="preserve"> 14.771.564,66</w:t>
      </w:r>
      <w:r w:rsidRPr="00B0692A">
        <w:rPr>
          <w:rFonts w:cs="Arial"/>
          <w:b/>
          <w:bCs/>
          <w:sz w:val="24"/>
          <w:szCs w:val="24"/>
        </w:rPr>
        <w:t xml:space="preserve"> </w:t>
      </w:r>
      <w:r w:rsidRPr="00B0692A">
        <w:rPr>
          <w:rFonts w:cs="Arial"/>
          <w:bCs/>
        </w:rPr>
        <w:t>euros, conforme al siguiente detalle:</w:t>
      </w:r>
    </w:p>
    <w:p w:rsidR="00B0692A" w:rsidRPr="00B0692A" w:rsidRDefault="00B0692A" w:rsidP="00B0692A">
      <w:pPr>
        <w:spacing w:line="300" w:lineRule="auto"/>
        <w:ind w:firstLine="709"/>
        <w:rPr>
          <w:rFonts w:cs="Arial"/>
          <w:bCs/>
          <w:color w:val="FF0000"/>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gridCol w:w="1623"/>
        <w:gridCol w:w="1727"/>
        <w:gridCol w:w="1103"/>
      </w:tblGrid>
      <w:tr w:rsidR="00B0692A" w:rsidRPr="00B0692A" w:rsidTr="008735B7">
        <w:tc>
          <w:tcPr>
            <w:tcW w:w="4219" w:type="dxa"/>
            <w:shd w:val="clear" w:color="auto" w:fill="auto"/>
          </w:tcPr>
          <w:p w:rsidR="00B0692A" w:rsidRPr="00B0692A" w:rsidRDefault="00B0692A" w:rsidP="00B0692A">
            <w:pPr>
              <w:spacing w:line="300" w:lineRule="auto"/>
              <w:rPr>
                <w:rFonts w:cs="Arial"/>
                <w:b/>
                <w:bCs/>
              </w:rPr>
            </w:pPr>
            <w:r w:rsidRPr="00B0692A">
              <w:rPr>
                <w:rFonts w:cs="Arial"/>
                <w:b/>
                <w:bCs/>
              </w:rPr>
              <w:t>Clasificación económica por artículos</w:t>
            </w:r>
          </w:p>
        </w:tc>
        <w:tc>
          <w:tcPr>
            <w:tcW w:w="1560" w:type="dxa"/>
            <w:shd w:val="clear" w:color="auto" w:fill="auto"/>
            <w:vAlign w:val="center"/>
          </w:tcPr>
          <w:p w:rsidR="00B0692A" w:rsidRPr="00B0692A" w:rsidRDefault="00B0692A" w:rsidP="00B0692A">
            <w:pPr>
              <w:rPr>
                <w:rFonts w:cs="Arial"/>
                <w:b/>
                <w:bCs/>
              </w:rPr>
            </w:pPr>
            <w:r w:rsidRPr="00B0692A">
              <w:rPr>
                <w:rFonts w:cs="Arial"/>
                <w:b/>
                <w:bCs/>
              </w:rPr>
              <w:t>2018</w:t>
            </w:r>
          </w:p>
        </w:tc>
        <w:tc>
          <w:tcPr>
            <w:tcW w:w="1729" w:type="dxa"/>
            <w:shd w:val="clear" w:color="auto" w:fill="auto"/>
          </w:tcPr>
          <w:p w:rsidR="00B0692A" w:rsidRPr="00B0692A" w:rsidRDefault="00B0692A" w:rsidP="00B0692A">
            <w:pPr>
              <w:spacing w:line="300" w:lineRule="auto"/>
              <w:rPr>
                <w:rFonts w:cs="Arial"/>
                <w:b/>
                <w:bCs/>
              </w:rPr>
            </w:pPr>
            <w:r w:rsidRPr="00B0692A">
              <w:rPr>
                <w:rFonts w:cs="Arial"/>
                <w:b/>
                <w:bCs/>
              </w:rPr>
              <w:t>2017</w:t>
            </w:r>
          </w:p>
        </w:tc>
        <w:tc>
          <w:tcPr>
            <w:tcW w:w="1106" w:type="dxa"/>
            <w:shd w:val="clear" w:color="auto" w:fill="auto"/>
          </w:tcPr>
          <w:p w:rsidR="00B0692A" w:rsidRPr="00B0692A" w:rsidRDefault="00B0692A" w:rsidP="00B0692A">
            <w:pPr>
              <w:spacing w:line="300" w:lineRule="auto"/>
              <w:rPr>
                <w:rFonts w:cs="Arial"/>
                <w:b/>
                <w:bCs/>
              </w:rPr>
            </w:pPr>
            <w:r w:rsidRPr="00B0692A">
              <w:rPr>
                <w:rFonts w:cs="Arial"/>
                <w:b/>
                <w:bCs/>
              </w:rPr>
              <w:t>%</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10 Órganos de Gobierno y personal directivo</w:t>
            </w:r>
          </w:p>
        </w:tc>
        <w:tc>
          <w:tcPr>
            <w:tcW w:w="1560" w:type="dxa"/>
            <w:shd w:val="clear" w:color="auto" w:fill="auto"/>
            <w:vAlign w:val="center"/>
          </w:tcPr>
          <w:p w:rsidR="00B0692A" w:rsidRPr="00B0692A" w:rsidRDefault="00B0692A" w:rsidP="00B0692A">
            <w:pPr>
              <w:rPr>
                <w:rFonts w:cs="Arial"/>
              </w:rPr>
            </w:pPr>
            <w:r w:rsidRPr="00B0692A">
              <w:rPr>
                <w:rFonts w:cs="Arial"/>
              </w:rPr>
              <w:t>70.000,00</w:t>
            </w:r>
          </w:p>
        </w:tc>
        <w:tc>
          <w:tcPr>
            <w:tcW w:w="1729" w:type="dxa"/>
            <w:shd w:val="clear" w:color="auto" w:fill="auto"/>
            <w:vAlign w:val="center"/>
          </w:tcPr>
          <w:p w:rsidR="00B0692A" w:rsidRPr="00B0692A" w:rsidRDefault="00B0692A" w:rsidP="00B0692A">
            <w:pPr>
              <w:spacing w:line="300" w:lineRule="auto"/>
              <w:rPr>
                <w:rFonts w:cs="Arial"/>
                <w:bCs/>
              </w:rPr>
            </w:pPr>
            <w:r w:rsidRPr="00B0692A">
              <w:rPr>
                <w:rFonts w:cs="Arial"/>
                <w:bCs/>
              </w:rPr>
              <w:t>70.000,00</w:t>
            </w:r>
          </w:p>
        </w:tc>
        <w:tc>
          <w:tcPr>
            <w:tcW w:w="1106" w:type="dxa"/>
            <w:shd w:val="clear" w:color="auto" w:fill="auto"/>
            <w:vAlign w:val="center"/>
          </w:tcPr>
          <w:p w:rsidR="00B0692A" w:rsidRPr="00B0692A" w:rsidRDefault="00B0692A" w:rsidP="00B0692A">
            <w:pPr>
              <w:rPr>
                <w:rFonts w:cs="Arial"/>
              </w:rPr>
            </w:pPr>
            <w:r w:rsidRPr="00B0692A">
              <w:rPr>
                <w:rFonts w:cs="Arial"/>
              </w:rPr>
              <w:t>0,00%</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12 Retribuciones Básicas funcionarios</w:t>
            </w:r>
          </w:p>
        </w:tc>
        <w:tc>
          <w:tcPr>
            <w:tcW w:w="1560" w:type="dxa"/>
            <w:shd w:val="clear" w:color="auto" w:fill="auto"/>
            <w:vAlign w:val="center"/>
          </w:tcPr>
          <w:p w:rsidR="00B0692A" w:rsidRPr="00B0692A" w:rsidRDefault="00B0692A" w:rsidP="00B0692A">
            <w:pPr>
              <w:rPr>
                <w:rFonts w:cs="Arial"/>
              </w:rPr>
            </w:pPr>
            <w:r w:rsidRPr="00B0692A">
              <w:rPr>
                <w:rFonts w:cs="Arial"/>
              </w:rPr>
              <w:t>8.375.090,75</w:t>
            </w:r>
          </w:p>
        </w:tc>
        <w:tc>
          <w:tcPr>
            <w:tcW w:w="1729" w:type="dxa"/>
            <w:shd w:val="clear" w:color="auto" w:fill="auto"/>
            <w:vAlign w:val="center"/>
          </w:tcPr>
          <w:p w:rsidR="00B0692A" w:rsidRPr="00B0692A" w:rsidRDefault="00B0692A" w:rsidP="00B0692A">
            <w:pPr>
              <w:spacing w:line="300" w:lineRule="auto"/>
              <w:rPr>
                <w:rFonts w:cs="Arial"/>
                <w:bCs/>
              </w:rPr>
            </w:pPr>
            <w:r w:rsidRPr="00B0692A">
              <w:rPr>
                <w:rFonts w:cs="Arial"/>
                <w:bCs/>
              </w:rPr>
              <w:t>7.124.551,63</w:t>
            </w:r>
          </w:p>
        </w:tc>
        <w:tc>
          <w:tcPr>
            <w:tcW w:w="1106" w:type="dxa"/>
            <w:shd w:val="clear" w:color="auto" w:fill="auto"/>
            <w:vAlign w:val="center"/>
          </w:tcPr>
          <w:p w:rsidR="00B0692A" w:rsidRPr="00B0692A" w:rsidRDefault="00B0692A" w:rsidP="00B0692A">
            <w:pPr>
              <w:rPr>
                <w:rFonts w:cs="Arial"/>
              </w:rPr>
            </w:pPr>
            <w:r w:rsidRPr="00B0692A">
              <w:rPr>
                <w:rFonts w:cs="Arial"/>
              </w:rPr>
              <w:t>17,55%</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13 Personal Laboral</w:t>
            </w:r>
          </w:p>
        </w:tc>
        <w:tc>
          <w:tcPr>
            <w:tcW w:w="1560" w:type="dxa"/>
            <w:shd w:val="clear" w:color="auto" w:fill="auto"/>
            <w:vAlign w:val="center"/>
          </w:tcPr>
          <w:p w:rsidR="00B0692A" w:rsidRPr="00B0692A" w:rsidRDefault="00B0692A" w:rsidP="00B0692A">
            <w:pPr>
              <w:rPr>
                <w:rFonts w:cs="Arial"/>
              </w:rPr>
            </w:pPr>
            <w:r w:rsidRPr="00B0692A">
              <w:rPr>
                <w:rFonts w:cs="Arial"/>
              </w:rPr>
              <w:t>652.773,46</w:t>
            </w:r>
          </w:p>
        </w:tc>
        <w:tc>
          <w:tcPr>
            <w:tcW w:w="1729" w:type="dxa"/>
            <w:shd w:val="clear" w:color="auto" w:fill="auto"/>
            <w:vAlign w:val="center"/>
          </w:tcPr>
          <w:p w:rsidR="00B0692A" w:rsidRPr="00B0692A" w:rsidRDefault="00B0692A" w:rsidP="00B0692A">
            <w:pPr>
              <w:spacing w:line="300" w:lineRule="auto"/>
              <w:rPr>
                <w:rFonts w:cs="Arial"/>
                <w:bCs/>
              </w:rPr>
            </w:pPr>
            <w:r w:rsidRPr="00B0692A">
              <w:rPr>
                <w:rFonts w:cs="Arial"/>
                <w:bCs/>
              </w:rPr>
              <w:t>639.802,38</w:t>
            </w:r>
          </w:p>
        </w:tc>
        <w:tc>
          <w:tcPr>
            <w:tcW w:w="1106" w:type="dxa"/>
            <w:shd w:val="clear" w:color="auto" w:fill="auto"/>
            <w:vAlign w:val="center"/>
          </w:tcPr>
          <w:p w:rsidR="00B0692A" w:rsidRPr="00B0692A" w:rsidRDefault="00B0692A" w:rsidP="00B0692A">
            <w:pPr>
              <w:rPr>
                <w:rFonts w:cs="Arial"/>
              </w:rPr>
            </w:pPr>
            <w:r w:rsidRPr="00B0692A">
              <w:rPr>
                <w:rFonts w:cs="Arial"/>
              </w:rPr>
              <w:t>2,03%</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15 Incentivos al rendimiento</w:t>
            </w:r>
          </w:p>
        </w:tc>
        <w:tc>
          <w:tcPr>
            <w:tcW w:w="1560" w:type="dxa"/>
            <w:shd w:val="clear" w:color="auto" w:fill="auto"/>
            <w:vAlign w:val="center"/>
          </w:tcPr>
          <w:p w:rsidR="00B0692A" w:rsidRPr="00B0692A" w:rsidRDefault="00B0692A" w:rsidP="00B0692A">
            <w:pPr>
              <w:rPr>
                <w:rFonts w:cs="Arial"/>
              </w:rPr>
            </w:pPr>
            <w:r w:rsidRPr="00B0692A">
              <w:rPr>
                <w:rFonts w:cs="Arial"/>
              </w:rPr>
              <w:t>1.719.202,96</w:t>
            </w:r>
          </w:p>
        </w:tc>
        <w:tc>
          <w:tcPr>
            <w:tcW w:w="1729" w:type="dxa"/>
            <w:shd w:val="clear" w:color="auto" w:fill="auto"/>
            <w:vAlign w:val="center"/>
          </w:tcPr>
          <w:p w:rsidR="00B0692A" w:rsidRPr="00B0692A" w:rsidRDefault="00B0692A" w:rsidP="00B0692A">
            <w:pPr>
              <w:spacing w:line="300" w:lineRule="auto"/>
              <w:rPr>
                <w:rFonts w:cs="Arial"/>
                <w:bCs/>
              </w:rPr>
            </w:pPr>
            <w:r w:rsidRPr="00B0692A">
              <w:rPr>
                <w:rFonts w:cs="Arial"/>
                <w:bCs/>
              </w:rPr>
              <w:t>2.822.407,44</w:t>
            </w:r>
          </w:p>
        </w:tc>
        <w:tc>
          <w:tcPr>
            <w:tcW w:w="1106" w:type="dxa"/>
            <w:shd w:val="clear" w:color="auto" w:fill="auto"/>
            <w:vAlign w:val="center"/>
          </w:tcPr>
          <w:p w:rsidR="00B0692A" w:rsidRPr="00B0692A" w:rsidRDefault="00B0692A" w:rsidP="00B0692A">
            <w:pPr>
              <w:rPr>
                <w:rFonts w:cs="Arial"/>
              </w:rPr>
            </w:pPr>
            <w:r w:rsidRPr="00B0692A">
              <w:rPr>
                <w:rFonts w:cs="Arial"/>
              </w:rPr>
              <w:t>-39,09%</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16 Cuotas, prestaciones y gastos sociales</w:t>
            </w:r>
          </w:p>
        </w:tc>
        <w:tc>
          <w:tcPr>
            <w:tcW w:w="1560" w:type="dxa"/>
            <w:shd w:val="clear" w:color="auto" w:fill="auto"/>
            <w:vAlign w:val="center"/>
          </w:tcPr>
          <w:p w:rsidR="00B0692A" w:rsidRPr="00B0692A" w:rsidRDefault="00B0692A" w:rsidP="00B0692A">
            <w:pPr>
              <w:rPr>
                <w:rFonts w:cs="Arial"/>
              </w:rPr>
            </w:pPr>
            <w:r w:rsidRPr="00B0692A">
              <w:rPr>
                <w:rFonts w:cs="Arial"/>
              </w:rPr>
              <w:t>3.935.197,51</w:t>
            </w:r>
          </w:p>
        </w:tc>
        <w:tc>
          <w:tcPr>
            <w:tcW w:w="1729" w:type="dxa"/>
            <w:shd w:val="clear" w:color="auto" w:fill="auto"/>
            <w:vAlign w:val="center"/>
          </w:tcPr>
          <w:p w:rsidR="00B0692A" w:rsidRPr="00B0692A" w:rsidRDefault="00B0692A" w:rsidP="00B0692A">
            <w:pPr>
              <w:spacing w:line="300" w:lineRule="auto"/>
              <w:rPr>
                <w:rFonts w:cs="Arial"/>
                <w:bCs/>
              </w:rPr>
            </w:pPr>
            <w:r w:rsidRPr="00B0692A">
              <w:rPr>
                <w:rFonts w:cs="Arial"/>
                <w:bCs/>
              </w:rPr>
              <w:t>3.811.315,77</w:t>
            </w:r>
          </w:p>
        </w:tc>
        <w:tc>
          <w:tcPr>
            <w:tcW w:w="1106" w:type="dxa"/>
            <w:shd w:val="clear" w:color="auto" w:fill="auto"/>
            <w:vAlign w:val="center"/>
          </w:tcPr>
          <w:p w:rsidR="00B0692A" w:rsidRPr="00B0692A" w:rsidRDefault="00B0692A" w:rsidP="00B0692A">
            <w:pPr>
              <w:rPr>
                <w:rFonts w:cs="Arial"/>
              </w:rPr>
            </w:pPr>
            <w:r w:rsidRPr="00B0692A">
              <w:rPr>
                <w:rFonts w:cs="Arial"/>
              </w:rPr>
              <w:t>3,25%</w:t>
            </w:r>
          </w:p>
        </w:tc>
      </w:tr>
      <w:tr w:rsidR="00B0692A" w:rsidRPr="00B0692A" w:rsidTr="008735B7">
        <w:tc>
          <w:tcPr>
            <w:tcW w:w="4219" w:type="dxa"/>
            <w:shd w:val="clear" w:color="auto" w:fill="auto"/>
          </w:tcPr>
          <w:p w:rsidR="00B0692A" w:rsidRPr="00B0692A" w:rsidRDefault="00B0692A" w:rsidP="00B0692A">
            <w:pPr>
              <w:spacing w:line="300" w:lineRule="auto"/>
              <w:rPr>
                <w:rFonts w:cs="Arial"/>
                <w:b/>
                <w:bCs/>
              </w:rPr>
            </w:pPr>
          </w:p>
        </w:tc>
        <w:tc>
          <w:tcPr>
            <w:tcW w:w="1560" w:type="dxa"/>
            <w:shd w:val="clear" w:color="auto" w:fill="auto"/>
            <w:vAlign w:val="center"/>
          </w:tcPr>
          <w:p w:rsidR="00B0692A" w:rsidRPr="00B0692A" w:rsidRDefault="00B0692A" w:rsidP="00B0692A">
            <w:pPr>
              <w:rPr>
                <w:rFonts w:cs="Arial"/>
                <w:b/>
                <w:bCs/>
              </w:rPr>
            </w:pPr>
            <w:r w:rsidRPr="00B0692A">
              <w:rPr>
                <w:rFonts w:cs="Arial"/>
                <w:b/>
                <w:bCs/>
              </w:rPr>
              <w:t>14.752.264,67</w:t>
            </w:r>
          </w:p>
        </w:tc>
        <w:tc>
          <w:tcPr>
            <w:tcW w:w="1729" w:type="dxa"/>
            <w:shd w:val="clear" w:color="auto" w:fill="auto"/>
            <w:vAlign w:val="center"/>
          </w:tcPr>
          <w:p w:rsidR="00B0692A" w:rsidRPr="00B0692A" w:rsidRDefault="00B0692A" w:rsidP="00B0692A">
            <w:pPr>
              <w:spacing w:line="300" w:lineRule="auto"/>
              <w:rPr>
                <w:rFonts w:cs="Arial"/>
                <w:b/>
                <w:bCs/>
              </w:rPr>
            </w:pPr>
            <w:r w:rsidRPr="00B0692A">
              <w:rPr>
                <w:rFonts w:cs="Arial"/>
                <w:b/>
                <w:bCs/>
              </w:rPr>
              <w:t>14.468.077,22</w:t>
            </w:r>
          </w:p>
        </w:tc>
        <w:tc>
          <w:tcPr>
            <w:tcW w:w="1106" w:type="dxa"/>
            <w:shd w:val="clear" w:color="auto" w:fill="auto"/>
            <w:vAlign w:val="center"/>
          </w:tcPr>
          <w:p w:rsidR="00B0692A" w:rsidRPr="00B0692A" w:rsidRDefault="00B0692A" w:rsidP="00B0692A">
            <w:pPr>
              <w:ind w:left="-108"/>
              <w:rPr>
                <w:rFonts w:cs="Arial"/>
                <w:b/>
                <w:bCs/>
              </w:rPr>
            </w:pPr>
            <w:r w:rsidRPr="00B0692A">
              <w:rPr>
                <w:rFonts w:cs="Arial"/>
                <w:b/>
                <w:bCs/>
              </w:rPr>
              <w:t>1,96%</w:t>
            </w:r>
          </w:p>
        </w:tc>
      </w:tr>
    </w:tbl>
    <w:p w:rsidR="00B0692A" w:rsidRPr="00B0692A" w:rsidRDefault="00B0692A" w:rsidP="00B0692A">
      <w:pPr>
        <w:spacing w:line="300" w:lineRule="auto"/>
        <w:ind w:firstLine="709"/>
        <w:rPr>
          <w:rFonts w:cs="Arial"/>
          <w:bCs/>
          <w:color w:val="FF0000"/>
        </w:rPr>
      </w:pPr>
    </w:p>
    <w:p w:rsidR="00B0692A" w:rsidRPr="00B0692A" w:rsidRDefault="00B0692A" w:rsidP="00B0692A">
      <w:pPr>
        <w:spacing w:before="120" w:after="120"/>
        <w:ind w:firstLine="709"/>
        <w:rPr>
          <w:rFonts w:cs="Arial"/>
          <w:bCs/>
        </w:rPr>
      </w:pPr>
      <w:r w:rsidRPr="00B0692A">
        <w:rPr>
          <w:rFonts w:cs="Arial"/>
          <w:bCs/>
        </w:rPr>
        <w:t>Los criterios por los que ha sido elaborado este capítulo I son los siguientes:</w:t>
      </w:r>
    </w:p>
    <w:p w:rsidR="00B0692A" w:rsidRPr="00B0692A" w:rsidRDefault="00B0692A" w:rsidP="00B0692A">
      <w:pPr>
        <w:spacing w:before="120" w:after="120"/>
        <w:ind w:firstLine="709"/>
        <w:rPr>
          <w:rFonts w:cs="Arial"/>
          <w:b/>
          <w:bCs/>
          <w:sz w:val="24"/>
          <w:szCs w:val="24"/>
        </w:rPr>
      </w:pPr>
    </w:p>
    <w:p w:rsidR="00B0692A" w:rsidRPr="00B0692A" w:rsidRDefault="00B0692A" w:rsidP="00B0692A">
      <w:pPr>
        <w:numPr>
          <w:ilvl w:val="0"/>
          <w:numId w:val="7"/>
        </w:numPr>
        <w:autoSpaceDE w:val="0"/>
        <w:autoSpaceDN w:val="0"/>
        <w:spacing w:before="120" w:after="120"/>
        <w:rPr>
          <w:rFonts w:cs="Arial"/>
          <w:bCs/>
        </w:rPr>
      </w:pPr>
      <w:r w:rsidRPr="00B0692A">
        <w:rPr>
          <w:rFonts w:cs="Arial"/>
          <w:bCs/>
        </w:rPr>
        <w:t>El importe de las retribuciones del personal se han incrementado un 1% respecto a las retribuciones a 31 de diciembre de 2016, sin perjuicio de lo que pueda establecer la normativa estatal que se apruebe para el ejercicio 2018.</w:t>
      </w:r>
    </w:p>
    <w:p w:rsidR="00B0692A" w:rsidRPr="00B0692A" w:rsidRDefault="00B0692A" w:rsidP="00B0692A">
      <w:pPr>
        <w:numPr>
          <w:ilvl w:val="0"/>
          <w:numId w:val="7"/>
        </w:numPr>
        <w:autoSpaceDE w:val="0"/>
        <w:autoSpaceDN w:val="0"/>
        <w:spacing w:before="120" w:after="120"/>
        <w:rPr>
          <w:rFonts w:cs="Arial"/>
          <w:bCs/>
        </w:rPr>
      </w:pPr>
      <w:r w:rsidRPr="00B0692A">
        <w:rPr>
          <w:rFonts w:cs="Arial"/>
          <w:bCs/>
        </w:rPr>
        <w:lastRenderedPageBreak/>
        <w:t>Se dota presupuestariamente la cantidad de 165.000,00 euros en ejecución del Plan Específico de incentivos a la jubilación anticipada.</w:t>
      </w:r>
    </w:p>
    <w:p w:rsidR="00B0692A" w:rsidRPr="00B0692A" w:rsidRDefault="00B0692A" w:rsidP="00B0692A">
      <w:pPr>
        <w:numPr>
          <w:ilvl w:val="0"/>
          <w:numId w:val="7"/>
        </w:numPr>
        <w:autoSpaceDE w:val="0"/>
        <w:autoSpaceDN w:val="0"/>
        <w:spacing w:before="120" w:after="120"/>
        <w:rPr>
          <w:rFonts w:cs="Arial"/>
          <w:bCs/>
        </w:rPr>
      </w:pPr>
      <w:r w:rsidRPr="00B0692A">
        <w:rPr>
          <w:rFonts w:cs="Arial"/>
          <w:bCs/>
        </w:rPr>
        <w:t>Las guardias de convenio del personal operativo sujeto a turno continúan siendo 10.</w:t>
      </w:r>
    </w:p>
    <w:p w:rsidR="00B0692A" w:rsidRPr="00B0692A" w:rsidRDefault="00B0692A" w:rsidP="00B0692A">
      <w:pPr>
        <w:numPr>
          <w:ilvl w:val="0"/>
          <w:numId w:val="7"/>
        </w:numPr>
        <w:autoSpaceDE w:val="0"/>
        <w:autoSpaceDN w:val="0"/>
        <w:spacing w:before="120" w:after="120"/>
        <w:rPr>
          <w:rFonts w:cs="Arial"/>
          <w:bCs/>
        </w:rPr>
      </w:pPr>
      <w:r w:rsidRPr="00B0692A">
        <w:rPr>
          <w:rFonts w:cs="Arial"/>
          <w:bCs/>
        </w:rPr>
        <w:t>Los compromisos derivados de los acuerdos y convenios de condiciones de trabajo suscritos entre esta Administración y el personal funcionario y laboral de la misma, salvo los que por Ley hayan sido modificados.</w:t>
      </w:r>
    </w:p>
    <w:p w:rsidR="00B0692A" w:rsidRPr="00B0692A" w:rsidRDefault="00B0692A" w:rsidP="00B0692A">
      <w:pPr>
        <w:numPr>
          <w:ilvl w:val="0"/>
          <w:numId w:val="7"/>
        </w:numPr>
        <w:autoSpaceDE w:val="0"/>
        <w:autoSpaceDN w:val="0"/>
        <w:spacing w:before="120" w:after="120"/>
        <w:rPr>
          <w:rFonts w:cs="Arial"/>
          <w:bCs/>
        </w:rPr>
      </w:pPr>
      <w:r w:rsidRPr="00B0692A">
        <w:rPr>
          <w:rFonts w:cs="Arial"/>
          <w:bCs/>
        </w:rPr>
        <w:t>Nuevos compromisos adquiridos en el Acuerdo de fin de Huelga, aprobados por el Pleno del Consorcio el 28 de junio de 2017:</w:t>
      </w:r>
    </w:p>
    <w:p w:rsidR="00B0692A" w:rsidRPr="00B0692A" w:rsidRDefault="00B0692A" w:rsidP="00B0692A">
      <w:pPr>
        <w:pStyle w:val="Prrafodelista"/>
        <w:numPr>
          <w:ilvl w:val="3"/>
          <w:numId w:val="7"/>
        </w:numPr>
        <w:tabs>
          <w:tab w:val="clear" w:pos="3240"/>
        </w:tabs>
        <w:autoSpaceDE w:val="0"/>
        <w:autoSpaceDN w:val="0"/>
        <w:spacing w:before="120" w:after="120" w:line="240" w:lineRule="auto"/>
        <w:ind w:left="1985" w:hanging="284"/>
        <w:jc w:val="both"/>
        <w:rPr>
          <w:rFonts w:ascii="Arial" w:hAnsi="Arial" w:cs="Arial"/>
          <w:bCs/>
        </w:rPr>
      </w:pPr>
      <w:r w:rsidRPr="00B0692A">
        <w:rPr>
          <w:rFonts w:ascii="Arial" w:hAnsi="Arial" w:cs="Arial"/>
          <w:bCs/>
        </w:rPr>
        <w:t>Dos guardias anuales de 24 horas para el personal operativo sujeto a turnos en concepto de “adaptación de jornada”.</w:t>
      </w:r>
    </w:p>
    <w:p w:rsidR="00B0692A" w:rsidRPr="00B0692A" w:rsidRDefault="00B0692A" w:rsidP="00B0692A">
      <w:pPr>
        <w:pStyle w:val="Prrafodelista"/>
        <w:numPr>
          <w:ilvl w:val="3"/>
          <w:numId w:val="7"/>
        </w:numPr>
        <w:tabs>
          <w:tab w:val="clear" w:pos="3240"/>
        </w:tabs>
        <w:autoSpaceDE w:val="0"/>
        <w:autoSpaceDN w:val="0"/>
        <w:spacing w:before="120" w:after="120" w:line="240" w:lineRule="auto"/>
        <w:ind w:left="1985" w:hanging="284"/>
        <w:jc w:val="both"/>
        <w:rPr>
          <w:rFonts w:ascii="Arial" w:hAnsi="Arial" w:cs="Arial"/>
          <w:bCs/>
        </w:rPr>
      </w:pPr>
      <w:r w:rsidRPr="00B0692A">
        <w:rPr>
          <w:rFonts w:ascii="Arial" w:hAnsi="Arial" w:cs="Arial"/>
          <w:bCs/>
        </w:rPr>
        <w:t>Una guardia anual de 24 horas para el personal operativo sujeto a turnos en concepto de formación obligatoria.</w:t>
      </w:r>
    </w:p>
    <w:p w:rsidR="00B0692A" w:rsidRPr="00B0692A" w:rsidRDefault="00B0692A" w:rsidP="00B0692A">
      <w:pPr>
        <w:pStyle w:val="Prrafodelista"/>
        <w:numPr>
          <w:ilvl w:val="3"/>
          <w:numId w:val="7"/>
        </w:numPr>
        <w:tabs>
          <w:tab w:val="clear" w:pos="3240"/>
        </w:tabs>
        <w:autoSpaceDE w:val="0"/>
        <w:autoSpaceDN w:val="0"/>
        <w:spacing w:before="120" w:after="120" w:line="240" w:lineRule="auto"/>
        <w:ind w:left="1985" w:hanging="284"/>
        <w:jc w:val="both"/>
        <w:rPr>
          <w:rFonts w:ascii="Arial" w:hAnsi="Arial" w:cs="Arial"/>
          <w:bCs/>
        </w:rPr>
      </w:pPr>
      <w:r w:rsidRPr="00B0692A">
        <w:rPr>
          <w:rFonts w:ascii="Arial" w:hAnsi="Arial" w:cs="Arial"/>
          <w:bCs/>
        </w:rPr>
        <w:t>Derivado de la apertura del Parque provisional de Arona, se han dotado presupuestariamente 10 plazas de bomberos, que se encontraban en el ejercicio anterior sin dotación presupuestaria. Además se han creado y dotado 2 plazas nuevas de Bombero Especialista Conductor, todas a partir del 01.07.2018</w:t>
      </w:r>
    </w:p>
    <w:p w:rsidR="00B0692A" w:rsidRPr="00B0692A" w:rsidRDefault="00B0692A" w:rsidP="00B0692A">
      <w:pPr>
        <w:numPr>
          <w:ilvl w:val="0"/>
          <w:numId w:val="7"/>
        </w:numPr>
        <w:autoSpaceDE w:val="0"/>
        <w:autoSpaceDN w:val="0"/>
        <w:spacing w:before="120" w:after="120"/>
        <w:rPr>
          <w:rFonts w:cs="Arial"/>
          <w:bCs/>
        </w:rPr>
      </w:pPr>
      <w:r w:rsidRPr="00B0692A">
        <w:rPr>
          <w:rFonts w:cs="Arial"/>
          <w:bCs/>
        </w:rPr>
        <w:t>El coste de los días de asuntos particulares y de vacaciones adicionales por antigüedad aprobados por el Real Decreto Ley 10/2015 de 11 de septiembre.</w:t>
      </w:r>
    </w:p>
    <w:p w:rsidR="00B0692A" w:rsidRPr="00B0692A" w:rsidRDefault="00B0692A" w:rsidP="00B0692A">
      <w:pPr>
        <w:numPr>
          <w:ilvl w:val="0"/>
          <w:numId w:val="7"/>
        </w:numPr>
        <w:autoSpaceDE w:val="0"/>
        <w:autoSpaceDN w:val="0"/>
        <w:spacing w:before="120" w:after="120"/>
        <w:rPr>
          <w:rFonts w:cs="Arial"/>
          <w:bCs/>
        </w:rPr>
      </w:pPr>
      <w:r w:rsidRPr="00B0692A">
        <w:rPr>
          <w:rFonts w:cs="Arial"/>
          <w:bCs/>
        </w:rPr>
        <w:t>La dotación mínima diaria de bomberos operativos para el ejercicio 2018 continúa siendo de 44 efectivos durante los tres primeros meses del año, pasando a 46 a partir del 1 de julio coincidiendo con la apertura del Parque de Bomberos de Arona.</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spacing w:before="120" w:line="300" w:lineRule="auto"/>
        <w:ind w:firstLine="709"/>
        <w:rPr>
          <w:rFonts w:cs="Arial"/>
          <w:bCs/>
          <w:color w:val="FF0000"/>
        </w:rPr>
      </w:pPr>
      <w:r w:rsidRPr="00B0692A">
        <w:rPr>
          <w:rFonts w:cs="Arial"/>
          <w:bCs/>
        </w:rPr>
        <w:t>El coste de los servicios extraordinarios de los funcionarios alcanza un 8,41% del total de este capítulo (sin tener en cuenta la cuota patronal de la seguridad social correspondiente a estas gratificaciones extraordinarias). Con respecto al ejercicio anterior, este concepto experimenta una disminución del 8,08%, que se debe a la incorporación de nuevo personal operativo, que disminuye el déficit de plantilla, y por lo tanto, las guardias extraordinarias.</w:t>
      </w:r>
    </w:p>
    <w:p w:rsidR="00B0692A" w:rsidRPr="00B0692A" w:rsidRDefault="00B0692A" w:rsidP="00B0692A">
      <w:pPr>
        <w:spacing w:before="120" w:line="300" w:lineRule="auto"/>
        <w:ind w:firstLine="709"/>
        <w:rPr>
          <w:rFonts w:cs="Arial"/>
          <w:bCs/>
        </w:rPr>
      </w:pPr>
      <w:r w:rsidRPr="00B0692A">
        <w:rPr>
          <w:rFonts w:cs="Arial"/>
          <w:bCs/>
        </w:rPr>
        <w:t>El Capítulo I del Presupuesto para 2018 se presenta con un incremento del 1,96%, con respecto a lo presupuestado en el ejercicio 2017, que en términos absolutos se cifra en 284.187,45 euros.</w:t>
      </w:r>
    </w:p>
    <w:p w:rsidR="00B0692A" w:rsidRDefault="00B0692A">
      <w:pPr>
        <w:spacing w:after="200" w:line="276" w:lineRule="auto"/>
        <w:jc w:val="left"/>
        <w:rPr>
          <w:rFonts w:cs="Arial"/>
          <w:bCs/>
          <w:color w:val="FF0000"/>
        </w:rPr>
      </w:pPr>
      <w:r>
        <w:rPr>
          <w:rFonts w:cs="Arial"/>
          <w:bCs/>
          <w:color w:val="FF0000"/>
        </w:rPr>
        <w:br w:type="page"/>
      </w:r>
    </w:p>
    <w:p w:rsidR="00B0692A" w:rsidRPr="00B0692A" w:rsidRDefault="00B0692A" w:rsidP="00B0692A">
      <w:pPr>
        <w:rPr>
          <w:rFonts w:cs="Arial"/>
          <w:bCs/>
          <w:color w:val="FF0000"/>
        </w:rPr>
      </w:pPr>
    </w:p>
    <w:p w:rsidR="00B0692A" w:rsidRPr="00B0692A" w:rsidRDefault="00B0692A" w:rsidP="00B0692A">
      <w:pPr>
        <w:pStyle w:val="Prrafodelista"/>
        <w:numPr>
          <w:ilvl w:val="0"/>
          <w:numId w:val="7"/>
        </w:numPr>
        <w:autoSpaceDE w:val="0"/>
        <w:autoSpaceDN w:val="0"/>
        <w:spacing w:before="120" w:after="0" w:line="300" w:lineRule="auto"/>
        <w:ind w:left="1077" w:hanging="357"/>
        <w:jc w:val="both"/>
        <w:rPr>
          <w:rFonts w:ascii="Arial" w:hAnsi="Arial" w:cs="Arial"/>
          <w:b/>
          <w:bCs/>
          <w:sz w:val="24"/>
          <w:szCs w:val="24"/>
        </w:rPr>
      </w:pPr>
      <w:r w:rsidRPr="00B0692A">
        <w:rPr>
          <w:rFonts w:ascii="Arial" w:hAnsi="Arial" w:cs="Arial"/>
          <w:b/>
          <w:bCs/>
          <w:i/>
        </w:rPr>
        <w:t>Capítulo II</w:t>
      </w:r>
      <w:r w:rsidRPr="00B0692A">
        <w:rPr>
          <w:rFonts w:ascii="Arial" w:hAnsi="Arial" w:cs="Arial"/>
          <w:bCs/>
          <w:i/>
        </w:rPr>
        <w:t xml:space="preserve">, </w:t>
      </w:r>
      <w:r w:rsidRPr="00B0692A">
        <w:rPr>
          <w:rFonts w:ascii="Arial" w:hAnsi="Arial" w:cs="Arial"/>
          <w:b/>
          <w:bCs/>
          <w:i/>
        </w:rPr>
        <w:t>Gastos corrientes en bienes y servicios</w:t>
      </w:r>
    </w:p>
    <w:p w:rsidR="00B0692A" w:rsidRPr="00B0692A" w:rsidRDefault="00B0692A" w:rsidP="00B0692A">
      <w:pPr>
        <w:spacing w:before="120" w:line="300" w:lineRule="auto"/>
        <w:ind w:firstLine="709"/>
        <w:rPr>
          <w:rFonts w:cs="Arial"/>
          <w:bCs/>
        </w:rPr>
      </w:pPr>
      <w:r w:rsidRPr="00B0692A">
        <w:rPr>
          <w:rFonts w:cs="Arial"/>
          <w:bCs/>
        </w:rPr>
        <w:t>El capítulo II del Presupuesto para 2018</w:t>
      </w:r>
      <w:r w:rsidRPr="00B0692A">
        <w:rPr>
          <w:rFonts w:cs="Arial"/>
          <w:bCs/>
          <w:i/>
        </w:rPr>
        <w:t xml:space="preserve"> </w:t>
      </w:r>
      <w:r w:rsidRPr="00B0692A">
        <w:rPr>
          <w:rFonts w:cs="Arial"/>
          <w:bCs/>
        </w:rPr>
        <w:t xml:space="preserve">asciende a la cantidad de </w:t>
      </w:r>
      <w:r w:rsidRPr="00B0692A">
        <w:rPr>
          <w:rFonts w:cs="Arial"/>
          <w:b/>
          <w:bCs/>
        </w:rPr>
        <w:t>1.983.045,00 euros</w:t>
      </w:r>
      <w:r w:rsidRPr="00B0692A">
        <w:rPr>
          <w:rFonts w:cs="Arial"/>
          <w:bCs/>
        </w:rPr>
        <w:t xml:space="preserve"> y supone el </w:t>
      </w:r>
      <w:r w:rsidRPr="00B0692A">
        <w:rPr>
          <w:rFonts w:cs="Arial"/>
          <w:b/>
          <w:bCs/>
        </w:rPr>
        <w:t>9,51%</w:t>
      </w:r>
      <w:r w:rsidRPr="00B0692A">
        <w:rPr>
          <w:rFonts w:cs="Arial"/>
          <w:bCs/>
        </w:rPr>
        <w:t xml:space="preserve"> del total del Presupuesto. El desglose es el siguiente:</w:t>
      </w:r>
    </w:p>
    <w:p w:rsidR="00B0692A" w:rsidRPr="00B0692A" w:rsidRDefault="00B0692A" w:rsidP="00B0692A">
      <w:pPr>
        <w:spacing w:before="120" w:line="300" w:lineRule="auto"/>
        <w:ind w:firstLine="709"/>
        <w:rPr>
          <w:rFonts w:cs="Arial"/>
          <w:bCs/>
        </w:rPr>
      </w:pPr>
    </w:p>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593"/>
        <w:gridCol w:w="1559"/>
        <w:gridCol w:w="1106"/>
      </w:tblGrid>
      <w:tr w:rsidR="00B0692A" w:rsidRPr="00B0692A" w:rsidTr="008735B7">
        <w:tc>
          <w:tcPr>
            <w:tcW w:w="4219" w:type="dxa"/>
            <w:shd w:val="clear" w:color="auto" w:fill="auto"/>
          </w:tcPr>
          <w:p w:rsidR="00B0692A" w:rsidRPr="00B0692A" w:rsidRDefault="00B0692A" w:rsidP="00B0692A">
            <w:pPr>
              <w:spacing w:line="300" w:lineRule="auto"/>
              <w:rPr>
                <w:rFonts w:cs="Arial"/>
                <w:b/>
                <w:bCs/>
              </w:rPr>
            </w:pPr>
            <w:r w:rsidRPr="00B0692A">
              <w:rPr>
                <w:rFonts w:cs="Arial"/>
                <w:b/>
                <w:bCs/>
              </w:rPr>
              <w:t>Clasificación económica por artículos</w:t>
            </w:r>
          </w:p>
        </w:tc>
        <w:tc>
          <w:tcPr>
            <w:tcW w:w="1593" w:type="dxa"/>
            <w:shd w:val="clear" w:color="auto" w:fill="auto"/>
            <w:vAlign w:val="center"/>
          </w:tcPr>
          <w:p w:rsidR="00B0692A" w:rsidRPr="00B0692A" w:rsidRDefault="00B0692A" w:rsidP="00B0692A">
            <w:pPr>
              <w:spacing w:line="300" w:lineRule="auto"/>
              <w:rPr>
                <w:rFonts w:cs="Arial"/>
                <w:b/>
                <w:bCs/>
              </w:rPr>
            </w:pPr>
            <w:r w:rsidRPr="00B0692A">
              <w:rPr>
                <w:rFonts w:cs="Arial"/>
                <w:b/>
                <w:bCs/>
              </w:rPr>
              <w:t>2018</w:t>
            </w:r>
          </w:p>
        </w:tc>
        <w:tc>
          <w:tcPr>
            <w:tcW w:w="1559" w:type="dxa"/>
            <w:shd w:val="clear" w:color="auto" w:fill="auto"/>
            <w:vAlign w:val="center"/>
          </w:tcPr>
          <w:p w:rsidR="00B0692A" w:rsidRPr="00B0692A" w:rsidRDefault="00B0692A" w:rsidP="00B0692A">
            <w:pPr>
              <w:spacing w:line="300" w:lineRule="auto"/>
              <w:rPr>
                <w:rFonts w:cs="Arial"/>
                <w:b/>
                <w:bCs/>
              </w:rPr>
            </w:pPr>
            <w:r w:rsidRPr="00B0692A">
              <w:rPr>
                <w:rFonts w:cs="Arial"/>
                <w:b/>
                <w:bCs/>
              </w:rPr>
              <w:t>2017</w:t>
            </w:r>
          </w:p>
        </w:tc>
        <w:tc>
          <w:tcPr>
            <w:tcW w:w="1106" w:type="dxa"/>
            <w:shd w:val="clear" w:color="auto" w:fill="auto"/>
            <w:vAlign w:val="center"/>
          </w:tcPr>
          <w:p w:rsidR="00B0692A" w:rsidRPr="00B0692A" w:rsidRDefault="00B0692A" w:rsidP="00B0692A">
            <w:pPr>
              <w:spacing w:line="300" w:lineRule="auto"/>
              <w:rPr>
                <w:rFonts w:cs="Arial"/>
                <w:b/>
                <w:bCs/>
              </w:rPr>
            </w:pPr>
            <w:r w:rsidRPr="00B0692A">
              <w:rPr>
                <w:rFonts w:cs="Arial"/>
                <w:b/>
                <w:bCs/>
              </w:rPr>
              <w:t>%</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20 Arrendamientos y cánones</w:t>
            </w:r>
          </w:p>
        </w:tc>
        <w:tc>
          <w:tcPr>
            <w:tcW w:w="1593" w:type="dxa"/>
            <w:shd w:val="clear" w:color="auto" w:fill="auto"/>
            <w:vAlign w:val="center"/>
          </w:tcPr>
          <w:p w:rsidR="00B0692A" w:rsidRPr="00B0692A" w:rsidRDefault="00B0692A" w:rsidP="00B0692A">
            <w:pPr>
              <w:rPr>
                <w:rFonts w:cs="Arial"/>
              </w:rPr>
            </w:pPr>
            <w:r w:rsidRPr="00B0692A">
              <w:rPr>
                <w:rFonts w:cs="Arial"/>
                <w:bCs/>
              </w:rPr>
              <w:t>52.210,00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34.920,00</w:t>
            </w:r>
          </w:p>
        </w:tc>
        <w:tc>
          <w:tcPr>
            <w:tcW w:w="1106" w:type="dxa"/>
            <w:shd w:val="clear" w:color="auto" w:fill="auto"/>
            <w:vAlign w:val="center"/>
          </w:tcPr>
          <w:p w:rsidR="00B0692A" w:rsidRPr="00B0692A" w:rsidRDefault="00B0692A" w:rsidP="00B0692A">
            <w:pPr>
              <w:rPr>
                <w:rFonts w:cs="Arial"/>
              </w:rPr>
            </w:pPr>
            <w:r w:rsidRPr="00B0692A">
              <w:rPr>
                <w:rFonts w:cs="Arial"/>
                <w:bCs/>
              </w:rPr>
              <w:t>49,51%</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21 Reparaciones, mantenimiento y conservación</w:t>
            </w:r>
          </w:p>
        </w:tc>
        <w:tc>
          <w:tcPr>
            <w:tcW w:w="1593" w:type="dxa"/>
            <w:shd w:val="clear" w:color="auto" w:fill="auto"/>
            <w:vAlign w:val="center"/>
          </w:tcPr>
          <w:p w:rsidR="00B0692A" w:rsidRPr="00B0692A" w:rsidRDefault="00B0692A" w:rsidP="00B0692A">
            <w:pPr>
              <w:rPr>
                <w:rFonts w:cs="Arial"/>
              </w:rPr>
            </w:pPr>
            <w:r w:rsidRPr="00B0692A">
              <w:rPr>
                <w:rFonts w:cs="Arial"/>
                <w:bCs/>
              </w:rPr>
              <w:t>433.880,00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473.680,00</w:t>
            </w:r>
          </w:p>
        </w:tc>
        <w:tc>
          <w:tcPr>
            <w:tcW w:w="1106" w:type="dxa"/>
            <w:shd w:val="clear" w:color="auto" w:fill="auto"/>
            <w:vAlign w:val="center"/>
          </w:tcPr>
          <w:p w:rsidR="00B0692A" w:rsidRPr="00B0692A" w:rsidRDefault="00B0692A" w:rsidP="00B0692A">
            <w:pPr>
              <w:rPr>
                <w:rFonts w:cs="Arial"/>
              </w:rPr>
            </w:pPr>
            <w:r w:rsidRPr="00B0692A">
              <w:rPr>
                <w:rFonts w:cs="Arial"/>
                <w:bCs/>
              </w:rPr>
              <w:t>-8,40%</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22 Material, suministros y otros</w:t>
            </w:r>
          </w:p>
        </w:tc>
        <w:tc>
          <w:tcPr>
            <w:tcW w:w="1593" w:type="dxa"/>
            <w:shd w:val="clear" w:color="auto" w:fill="auto"/>
            <w:vAlign w:val="center"/>
          </w:tcPr>
          <w:p w:rsidR="00B0692A" w:rsidRPr="00B0692A" w:rsidRDefault="00B0692A" w:rsidP="00B0692A">
            <w:pPr>
              <w:rPr>
                <w:rFonts w:cs="Arial"/>
              </w:rPr>
            </w:pPr>
            <w:r w:rsidRPr="00B0692A">
              <w:rPr>
                <w:rFonts w:cs="Arial"/>
                <w:bCs/>
              </w:rPr>
              <w:t>1.442.655,00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914.861,85</w:t>
            </w:r>
          </w:p>
        </w:tc>
        <w:tc>
          <w:tcPr>
            <w:tcW w:w="1106" w:type="dxa"/>
            <w:shd w:val="clear" w:color="auto" w:fill="auto"/>
            <w:vAlign w:val="center"/>
          </w:tcPr>
          <w:p w:rsidR="00B0692A" w:rsidRPr="00B0692A" w:rsidRDefault="00B0692A" w:rsidP="00B0692A">
            <w:pPr>
              <w:rPr>
                <w:rFonts w:cs="Arial"/>
              </w:rPr>
            </w:pPr>
            <w:r w:rsidRPr="00B0692A">
              <w:rPr>
                <w:rFonts w:cs="Arial"/>
                <w:bCs/>
              </w:rPr>
              <w:t>57,69%</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23 Indemnizaciones por razón del servicio</w:t>
            </w:r>
          </w:p>
        </w:tc>
        <w:tc>
          <w:tcPr>
            <w:tcW w:w="1593" w:type="dxa"/>
            <w:shd w:val="clear" w:color="auto" w:fill="auto"/>
            <w:vAlign w:val="center"/>
          </w:tcPr>
          <w:p w:rsidR="00B0692A" w:rsidRPr="00B0692A" w:rsidRDefault="00B0692A" w:rsidP="00B0692A">
            <w:pPr>
              <w:rPr>
                <w:rFonts w:cs="Arial"/>
              </w:rPr>
            </w:pPr>
            <w:r w:rsidRPr="00B0692A">
              <w:rPr>
                <w:rFonts w:cs="Arial"/>
                <w:bCs/>
              </w:rPr>
              <w:t>53.960,00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53.960,00</w:t>
            </w:r>
          </w:p>
        </w:tc>
        <w:tc>
          <w:tcPr>
            <w:tcW w:w="1106" w:type="dxa"/>
            <w:shd w:val="clear" w:color="auto" w:fill="auto"/>
            <w:vAlign w:val="center"/>
          </w:tcPr>
          <w:p w:rsidR="00B0692A" w:rsidRPr="00B0692A" w:rsidRDefault="00B0692A" w:rsidP="00B0692A">
            <w:pPr>
              <w:rPr>
                <w:rFonts w:cs="Arial"/>
              </w:rPr>
            </w:pPr>
            <w:r w:rsidRPr="00B0692A">
              <w:rPr>
                <w:rFonts w:cs="Arial"/>
                <w:bCs/>
              </w:rPr>
              <w:t>0,00%</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24 Gastos de publicación</w:t>
            </w:r>
          </w:p>
        </w:tc>
        <w:tc>
          <w:tcPr>
            <w:tcW w:w="1593" w:type="dxa"/>
            <w:shd w:val="clear" w:color="auto" w:fill="auto"/>
            <w:vAlign w:val="center"/>
          </w:tcPr>
          <w:p w:rsidR="00B0692A" w:rsidRPr="00B0692A" w:rsidRDefault="00B0692A" w:rsidP="00B0692A">
            <w:pPr>
              <w:rPr>
                <w:rFonts w:cs="Arial"/>
              </w:rPr>
            </w:pPr>
            <w:r w:rsidRPr="00B0692A">
              <w:rPr>
                <w:rFonts w:cs="Arial"/>
                <w:bCs/>
              </w:rPr>
              <w:t>340,00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340,00</w:t>
            </w:r>
          </w:p>
        </w:tc>
        <w:tc>
          <w:tcPr>
            <w:tcW w:w="1106" w:type="dxa"/>
            <w:shd w:val="clear" w:color="auto" w:fill="auto"/>
            <w:vAlign w:val="center"/>
          </w:tcPr>
          <w:p w:rsidR="00B0692A" w:rsidRPr="00B0692A" w:rsidRDefault="00B0692A" w:rsidP="00B0692A">
            <w:pPr>
              <w:rPr>
                <w:rFonts w:cs="Arial"/>
              </w:rPr>
            </w:pPr>
            <w:r w:rsidRPr="00B0692A">
              <w:rPr>
                <w:rFonts w:cs="Arial"/>
                <w:bCs/>
              </w:rPr>
              <w:t>0,00%</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26 Trabajos realizados por Instituciones sin ánimo de lucro</w:t>
            </w:r>
          </w:p>
        </w:tc>
        <w:tc>
          <w:tcPr>
            <w:tcW w:w="1593" w:type="dxa"/>
            <w:shd w:val="clear" w:color="auto" w:fill="auto"/>
            <w:vAlign w:val="center"/>
          </w:tcPr>
          <w:p w:rsidR="00B0692A" w:rsidRPr="00B0692A" w:rsidRDefault="00B0692A" w:rsidP="00B0692A">
            <w:pPr>
              <w:rPr>
                <w:rFonts w:cs="Arial"/>
              </w:rPr>
            </w:pPr>
            <w:r w:rsidRPr="00B0692A">
              <w:rPr>
                <w:rFonts w:cs="Arial"/>
                <w:bCs/>
              </w:rPr>
              <w:t>0,00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300.000,00</w:t>
            </w:r>
          </w:p>
        </w:tc>
        <w:tc>
          <w:tcPr>
            <w:tcW w:w="1106" w:type="dxa"/>
            <w:shd w:val="clear" w:color="auto" w:fill="auto"/>
            <w:vAlign w:val="center"/>
          </w:tcPr>
          <w:p w:rsidR="00B0692A" w:rsidRPr="00B0692A" w:rsidRDefault="00B0692A" w:rsidP="00B0692A">
            <w:pPr>
              <w:rPr>
                <w:rFonts w:cs="Arial"/>
              </w:rPr>
            </w:pPr>
            <w:r w:rsidRPr="00B0692A">
              <w:rPr>
                <w:rFonts w:cs="Arial"/>
                <w:bCs/>
              </w:rPr>
              <w:t>-100,00%</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
                <w:bCs/>
              </w:rPr>
            </w:pPr>
          </w:p>
        </w:tc>
        <w:tc>
          <w:tcPr>
            <w:tcW w:w="1593" w:type="dxa"/>
            <w:shd w:val="clear" w:color="auto" w:fill="auto"/>
            <w:vAlign w:val="center"/>
          </w:tcPr>
          <w:p w:rsidR="00B0692A" w:rsidRPr="00B0692A" w:rsidRDefault="00B0692A" w:rsidP="00B0692A">
            <w:pPr>
              <w:rPr>
                <w:rFonts w:cs="Arial"/>
                <w:b/>
                <w:bCs/>
              </w:rPr>
            </w:pPr>
            <w:r w:rsidRPr="00B0692A">
              <w:rPr>
                <w:rFonts w:cs="Arial"/>
                <w:b/>
                <w:bCs/>
              </w:rPr>
              <w:t>1.983.045,00</w:t>
            </w:r>
          </w:p>
        </w:tc>
        <w:tc>
          <w:tcPr>
            <w:tcW w:w="1559" w:type="dxa"/>
            <w:shd w:val="clear" w:color="auto" w:fill="auto"/>
            <w:vAlign w:val="center"/>
          </w:tcPr>
          <w:p w:rsidR="00B0692A" w:rsidRPr="00B0692A" w:rsidRDefault="00B0692A" w:rsidP="00B0692A">
            <w:pPr>
              <w:spacing w:line="300" w:lineRule="auto"/>
              <w:rPr>
                <w:rFonts w:cs="Arial"/>
                <w:b/>
                <w:bCs/>
              </w:rPr>
            </w:pPr>
            <w:r w:rsidRPr="00B0692A">
              <w:rPr>
                <w:rFonts w:cs="Arial"/>
                <w:b/>
                <w:bCs/>
              </w:rPr>
              <w:t>1.777.761,85</w:t>
            </w:r>
          </w:p>
        </w:tc>
        <w:tc>
          <w:tcPr>
            <w:tcW w:w="1106" w:type="dxa"/>
            <w:shd w:val="clear" w:color="auto" w:fill="auto"/>
            <w:vAlign w:val="center"/>
          </w:tcPr>
          <w:p w:rsidR="00B0692A" w:rsidRPr="00B0692A" w:rsidRDefault="00B0692A" w:rsidP="00B0692A">
            <w:pPr>
              <w:rPr>
                <w:rFonts w:cs="Arial"/>
                <w:b/>
                <w:bCs/>
              </w:rPr>
            </w:pPr>
            <w:r w:rsidRPr="00B0692A">
              <w:rPr>
                <w:rFonts w:cs="Arial"/>
                <w:b/>
                <w:bCs/>
              </w:rPr>
              <w:t>11,55%</w:t>
            </w:r>
          </w:p>
        </w:tc>
      </w:tr>
    </w:tbl>
    <w:p w:rsidR="00B0692A" w:rsidRPr="00B0692A" w:rsidRDefault="00B0692A" w:rsidP="00B0692A">
      <w:pPr>
        <w:spacing w:before="120" w:line="300" w:lineRule="auto"/>
        <w:ind w:firstLine="709"/>
        <w:rPr>
          <w:rFonts w:cs="Arial"/>
          <w:b/>
          <w:bCs/>
          <w:color w:val="FF0000"/>
        </w:rPr>
      </w:pPr>
    </w:p>
    <w:p w:rsidR="00B0692A" w:rsidRPr="00B0692A" w:rsidRDefault="00B0692A" w:rsidP="00B0692A">
      <w:pPr>
        <w:spacing w:before="120" w:line="300" w:lineRule="auto"/>
        <w:ind w:firstLine="709"/>
        <w:rPr>
          <w:rFonts w:cs="Arial"/>
          <w:bCs/>
        </w:rPr>
      </w:pPr>
      <w:r w:rsidRPr="00B0692A">
        <w:rPr>
          <w:rFonts w:cs="Arial"/>
          <w:bCs/>
        </w:rPr>
        <w:t>El capítulo II para el ejercicio 2018 experimenta un incremento del 11,55% con respecto al ejercicio anterior, lo que se traduce en 205.283,15 euros.</w:t>
      </w:r>
    </w:p>
    <w:p w:rsidR="00B0692A" w:rsidRPr="00B0692A" w:rsidRDefault="00B0692A" w:rsidP="00B0692A">
      <w:pPr>
        <w:spacing w:before="120" w:line="300" w:lineRule="auto"/>
        <w:ind w:firstLine="709"/>
        <w:rPr>
          <w:rFonts w:cs="Arial"/>
          <w:bCs/>
        </w:rPr>
      </w:pPr>
      <w:r w:rsidRPr="00B0692A">
        <w:rPr>
          <w:rFonts w:cs="Arial"/>
          <w:bCs/>
        </w:rPr>
        <w:t xml:space="preserve">Este capítulo recoge los gastos de servicios y suministros necesarios para el normal funcionamiento del servicio de bomberos. </w:t>
      </w:r>
    </w:p>
    <w:p w:rsidR="00B0692A" w:rsidRPr="00B0692A" w:rsidRDefault="00B0692A" w:rsidP="00B0692A">
      <w:pPr>
        <w:spacing w:before="120" w:line="300" w:lineRule="auto"/>
        <w:ind w:firstLine="709"/>
        <w:rPr>
          <w:rFonts w:cs="Arial"/>
          <w:bCs/>
        </w:rPr>
      </w:pPr>
      <w:r w:rsidRPr="00B0692A">
        <w:rPr>
          <w:rFonts w:cs="Arial"/>
          <w:bCs/>
        </w:rPr>
        <w:t>El necesario cumplimiento de las normas de seguridad e higiene en el trabajo para este servicio de emergencia, hace imprescindible en este ejercicio la adquisición de equipos de protección individual para una mayor seguridad de los trabajadores, que se traslada a un mejor servicio al ciudadano. Precisamente, es en este concepto donde se produce un mayor incremento con respecto al ejercicio 2017, concretamente 419.000,00 euros.</w:t>
      </w:r>
    </w:p>
    <w:p w:rsidR="00B0692A" w:rsidRPr="00B0692A" w:rsidRDefault="00B0692A" w:rsidP="00B0692A">
      <w:pPr>
        <w:spacing w:before="120" w:line="300" w:lineRule="auto"/>
        <w:ind w:firstLine="709"/>
        <w:rPr>
          <w:rFonts w:cs="Arial"/>
          <w:bCs/>
        </w:rPr>
      </w:pPr>
      <w:r w:rsidRPr="00B0692A">
        <w:rPr>
          <w:rFonts w:cs="Arial"/>
          <w:bCs/>
        </w:rPr>
        <w:t xml:space="preserve">Además de los equipos de protección individual, la seguridad en el trabajo conlleva el adecuado mantenimiento de los elementos con los que se trabaja: mantenimiento de los vehículos (Autoescaleras, autobombas, vehículo especiales de rescate,…), mantenimiento del material técnico operativo (equipos de respiración autónoma, limpieza de máscaras, extintores, botellas de aire comprimido…), mantenimiento de maquinaria y utillaje. </w:t>
      </w:r>
    </w:p>
    <w:p w:rsidR="00B0692A" w:rsidRPr="00B0692A" w:rsidRDefault="00B0692A" w:rsidP="00B0692A">
      <w:pPr>
        <w:spacing w:before="120" w:line="300" w:lineRule="auto"/>
        <w:ind w:firstLine="709"/>
        <w:rPr>
          <w:rFonts w:cs="Arial"/>
          <w:bCs/>
        </w:rPr>
      </w:pPr>
      <w:r w:rsidRPr="00B0692A">
        <w:rPr>
          <w:rFonts w:cs="Arial"/>
          <w:bCs/>
        </w:rPr>
        <w:lastRenderedPageBreak/>
        <w:t xml:space="preserve">Asimismo, en lo que se refiere al servicio de limpieza de los centros del Consorcio, se ha producido un aumento del precio del servicio (más de un 40%). Un sondeo de mercado de las empresas de limpieza, obligó a incrementar el precio de licitación de este servicio, tras haber quedado desierto el procedimiento anterior.  </w:t>
      </w:r>
    </w:p>
    <w:p w:rsidR="00B0692A" w:rsidRPr="00B0692A" w:rsidRDefault="00B0692A" w:rsidP="00B0692A">
      <w:pPr>
        <w:spacing w:before="120" w:line="300" w:lineRule="auto"/>
        <w:ind w:firstLine="709"/>
        <w:rPr>
          <w:rFonts w:cs="Arial"/>
          <w:bCs/>
        </w:rPr>
      </w:pPr>
      <w:r w:rsidRPr="00B0692A">
        <w:rPr>
          <w:rFonts w:cs="Arial"/>
          <w:bCs/>
        </w:rPr>
        <w:t>En este capítulo se incluyen también los suministros de agua, electricidad, teléfonos, repuestos de maquinarias, combustibles,…, además de los seguros de los vehículos.</w:t>
      </w:r>
    </w:p>
    <w:p w:rsidR="00B0692A" w:rsidRPr="00B0692A" w:rsidRDefault="00B0692A" w:rsidP="00B0692A">
      <w:pPr>
        <w:spacing w:before="120" w:line="300" w:lineRule="auto"/>
        <w:ind w:firstLine="709"/>
        <w:rPr>
          <w:rFonts w:cs="Arial"/>
          <w:bCs/>
        </w:rPr>
      </w:pPr>
      <w:r w:rsidRPr="00B0692A">
        <w:rPr>
          <w:rFonts w:cs="Arial"/>
          <w:bCs/>
        </w:rPr>
        <w:t xml:space="preserve">Por otro lado, en el ejercicio 2018 las aportaciones a las Asociaciones de bomberos Voluntarios (300.000,00 euros), que en el ejercicio anterior se habían presupuestado en este capítulo, ya que se consideraba que la naturaleza jurídica de ese gasto correspondía a un contrato administrativo, se presupuestan en los capítulos IV y VII como subvenciones. </w:t>
      </w:r>
    </w:p>
    <w:p w:rsidR="00B0692A" w:rsidRPr="00B0692A" w:rsidRDefault="00B0692A" w:rsidP="00B0692A">
      <w:pPr>
        <w:spacing w:before="120" w:line="300" w:lineRule="auto"/>
        <w:ind w:firstLine="709"/>
        <w:rPr>
          <w:rFonts w:cs="Arial"/>
          <w:bCs/>
        </w:rPr>
      </w:pPr>
      <w:r w:rsidRPr="00B0692A">
        <w:rPr>
          <w:rFonts w:cs="Arial"/>
          <w:bCs/>
        </w:rPr>
        <w:t>El capítulo II del Presupuesto para el ejercicio 2018, supone el 9,51% del total del presupuesto.</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
          <w:bCs/>
          <w:i/>
        </w:rPr>
      </w:pPr>
      <w:r w:rsidRPr="00B0692A">
        <w:rPr>
          <w:rFonts w:ascii="Arial" w:hAnsi="Arial" w:cs="Arial"/>
          <w:b/>
          <w:bCs/>
          <w:i/>
        </w:rPr>
        <w:t>Capítulo III, Gastos financieros</w:t>
      </w:r>
    </w:p>
    <w:p w:rsidR="00B0692A" w:rsidRPr="00B0692A" w:rsidRDefault="00B0692A" w:rsidP="00B0692A">
      <w:pPr>
        <w:spacing w:before="120" w:line="300" w:lineRule="auto"/>
        <w:ind w:firstLine="709"/>
        <w:rPr>
          <w:rFonts w:cs="Arial"/>
          <w:bCs/>
        </w:rPr>
      </w:pPr>
      <w:r w:rsidRPr="00B0692A">
        <w:rPr>
          <w:rFonts w:cs="Arial"/>
          <w:bCs/>
        </w:rPr>
        <w:t>La cantidad presupuestada en este capítulo es para los gastos financieros que las entidades bancarias cobran por los servicios prestados, principalmente en concepto de gastos por transferencias al extranjero. El Consorcio no tiene concertada ninguna operación de endeudamiento ni de tesorería que suponga un coste imputable a este capítulo. Este capítulo no experimenta variación con respecto al ejercicio anterior.</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pStyle w:val="Prrafodelista"/>
        <w:numPr>
          <w:ilvl w:val="0"/>
          <w:numId w:val="7"/>
        </w:numPr>
        <w:tabs>
          <w:tab w:val="clear" w:pos="1080"/>
        </w:tabs>
        <w:autoSpaceDE w:val="0"/>
        <w:autoSpaceDN w:val="0"/>
        <w:spacing w:before="120" w:after="0" w:line="300" w:lineRule="auto"/>
        <w:jc w:val="both"/>
        <w:rPr>
          <w:rFonts w:ascii="Arial" w:hAnsi="Arial" w:cs="Arial"/>
          <w:bCs/>
        </w:rPr>
      </w:pPr>
      <w:r w:rsidRPr="00B0692A">
        <w:rPr>
          <w:rFonts w:ascii="Arial" w:hAnsi="Arial" w:cs="Arial"/>
          <w:b/>
          <w:bCs/>
          <w:i/>
        </w:rPr>
        <w:t>Capítulo IV, Transferencias corrientes</w:t>
      </w:r>
      <w:r w:rsidRPr="00B0692A">
        <w:rPr>
          <w:rFonts w:ascii="Arial" w:hAnsi="Arial" w:cs="Arial"/>
          <w:bCs/>
        </w:rPr>
        <w:t xml:space="preserve"> </w:t>
      </w:r>
    </w:p>
    <w:p w:rsidR="00B0692A" w:rsidRPr="00B0692A" w:rsidRDefault="00B0692A" w:rsidP="00B0692A">
      <w:pPr>
        <w:spacing w:before="120" w:line="300" w:lineRule="auto"/>
        <w:ind w:firstLine="720"/>
        <w:rPr>
          <w:rFonts w:cs="Arial"/>
          <w:bCs/>
        </w:rPr>
      </w:pPr>
      <w:r w:rsidRPr="00B0692A">
        <w:rPr>
          <w:rFonts w:cs="Arial"/>
          <w:bCs/>
        </w:rPr>
        <w:t>El capítulo IV para 2018 se cifra en 242.000,00 euros. Solo recoge subvenciones nominativas que vienen detalladas en el Anexo I de este Presupuesto:</w:t>
      </w:r>
    </w:p>
    <w:p w:rsidR="00B0692A" w:rsidRPr="00B0692A" w:rsidRDefault="00B0692A" w:rsidP="00B0692A">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rPr>
      </w:pPr>
      <w:r w:rsidRPr="00B0692A">
        <w:rPr>
          <w:rFonts w:ascii="Arial" w:hAnsi="Arial" w:cs="Arial"/>
          <w:bCs/>
        </w:rPr>
        <w:t>Subvención Asociación Deportiva y Cultural, formada por los trabajadores del Consorcio.</w:t>
      </w:r>
    </w:p>
    <w:p w:rsidR="00B0692A" w:rsidRPr="00B0692A" w:rsidRDefault="00B0692A" w:rsidP="00B0692A">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rPr>
      </w:pPr>
      <w:r w:rsidRPr="00B0692A">
        <w:rPr>
          <w:rFonts w:ascii="Arial" w:hAnsi="Arial" w:cs="Arial"/>
          <w:bCs/>
        </w:rPr>
        <w:t>Subvención O.N.G. Bomberos Sin Fronteras.</w:t>
      </w:r>
    </w:p>
    <w:p w:rsidR="00B0692A" w:rsidRPr="00B0692A" w:rsidRDefault="00B0692A" w:rsidP="00B0692A">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rPr>
      </w:pPr>
      <w:r w:rsidRPr="00B0692A">
        <w:rPr>
          <w:rFonts w:ascii="Arial" w:hAnsi="Arial" w:cs="Arial"/>
          <w:bCs/>
        </w:rPr>
        <w:t>Asociación de Consorcios de Bomberos de España (</w:t>
      </w:r>
      <w:proofErr w:type="spellStart"/>
      <w:r w:rsidRPr="00B0692A">
        <w:rPr>
          <w:rFonts w:ascii="Arial" w:hAnsi="Arial" w:cs="Arial"/>
          <w:bCs/>
        </w:rPr>
        <w:t>Conbé</w:t>
      </w:r>
      <w:proofErr w:type="spellEnd"/>
      <w:r w:rsidRPr="00B0692A">
        <w:rPr>
          <w:rFonts w:ascii="Arial" w:hAnsi="Arial" w:cs="Arial"/>
          <w:bCs/>
        </w:rPr>
        <w:t>), cuota social.</w:t>
      </w:r>
    </w:p>
    <w:p w:rsidR="00B0692A" w:rsidRPr="00B0692A" w:rsidRDefault="00B0692A" w:rsidP="00B0692A">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rPr>
      </w:pPr>
      <w:r w:rsidRPr="00B0692A">
        <w:rPr>
          <w:rFonts w:ascii="Arial" w:hAnsi="Arial" w:cs="Arial"/>
          <w:bCs/>
        </w:rPr>
        <w:t>Subvención para gastos corrientes de las Asociaciones de Bomberos Voluntarios.</w:t>
      </w:r>
    </w:p>
    <w:p w:rsidR="00B0692A" w:rsidRPr="00B0692A" w:rsidRDefault="00B0692A" w:rsidP="00B0692A">
      <w:pPr>
        <w:spacing w:before="120" w:line="300" w:lineRule="auto"/>
        <w:ind w:firstLine="720"/>
        <w:rPr>
          <w:rFonts w:cs="Arial"/>
          <w:bCs/>
          <w:color w:val="FF0000"/>
        </w:rPr>
      </w:pPr>
    </w:p>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1"/>
        <w:gridCol w:w="1585"/>
        <w:gridCol w:w="1544"/>
        <w:gridCol w:w="1207"/>
      </w:tblGrid>
      <w:tr w:rsidR="00B0692A" w:rsidRPr="00B0692A" w:rsidTr="008735B7">
        <w:tc>
          <w:tcPr>
            <w:tcW w:w="4219" w:type="dxa"/>
            <w:shd w:val="clear" w:color="auto" w:fill="auto"/>
          </w:tcPr>
          <w:p w:rsidR="00B0692A" w:rsidRPr="00B0692A" w:rsidRDefault="00B0692A" w:rsidP="00B0692A">
            <w:pPr>
              <w:spacing w:line="300" w:lineRule="auto"/>
              <w:rPr>
                <w:rFonts w:cs="Arial"/>
                <w:b/>
                <w:bCs/>
              </w:rPr>
            </w:pPr>
            <w:r w:rsidRPr="00B0692A">
              <w:rPr>
                <w:rFonts w:cs="Arial"/>
                <w:b/>
                <w:bCs/>
              </w:rPr>
              <w:lastRenderedPageBreak/>
              <w:t>Clasificación económica por artículos</w:t>
            </w:r>
          </w:p>
        </w:tc>
        <w:tc>
          <w:tcPr>
            <w:tcW w:w="1593" w:type="dxa"/>
            <w:shd w:val="clear" w:color="auto" w:fill="auto"/>
            <w:vAlign w:val="center"/>
          </w:tcPr>
          <w:p w:rsidR="00B0692A" w:rsidRPr="00B0692A" w:rsidRDefault="00B0692A" w:rsidP="00B0692A">
            <w:pPr>
              <w:spacing w:line="300" w:lineRule="auto"/>
              <w:rPr>
                <w:rFonts w:cs="Arial"/>
                <w:b/>
                <w:bCs/>
              </w:rPr>
            </w:pPr>
            <w:r w:rsidRPr="00B0692A">
              <w:rPr>
                <w:rFonts w:cs="Arial"/>
                <w:b/>
                <w:bCs/>
              </w:rPr>
              <w:t>2018</w:t>
            </w:r>
          </w:p>
        </w:tc>
        <w:tc>
          <w:tcPr>
            <w:tcW w:w="1559" w:type="dxa"/>
            <w:shd w:val="clear" w:color="auto" w:fill="auto"/>
            <w:vAlign w:val="center"/>
          </w:tcPr>
          <w:p w:rsidR="00B0692A" w:rsidRPr="00B0692A" w:rsidRDefault="00B0692A" w:rsidP="00B0692A">
            <w:pPr>
              <w:spacing w:line="300" w:lineRule="auto"/>
              <w:rPr>
                <w:rFonts w:cs="Arial"/>
                <w:b/>
                <w:bCs/>
              </w:rPr>
            </w:pPr>
            <w:r w:rsidRPr="00B0692A">
              <w:rPr>
                <w:rFonts w:cs="Arial"/>
                <w:b/>
                <w:bCs/>
              </w:rPr>
              <w:t>2017</w:t>
            </w:r>
          </w:p>
        </w:tc>
        <w:tc>
          <w:tcPr>
            <w:tcW w:w="1106" w:type="dxa"/>
            <w:shd w:val="clear" w:color="auto" w:fill="auto"/>
            <w:vAlign w:val="center"/>
          </w:tcPr>
          <w:p w:rsidR="00B0692A" w:rsidRPr="00B0692A" w:rsidRDefault="00B0692A" w:rsidP="00B0692A">
            <w:pPr>
              <w:spacing w:line="300" w:lineRule="auto"/>
              <w:rPr>
                <w:rFonts w:cs="Arial"/>
                <w:b/>
                <w:bCs/>
              </w:rPr>
            </w:pPr>
            <w:r w:rsidRPr="00B0692A">
              <w:rPr>
                <w:rFonts w:cs="Arial"/>
                <w:b/>
                <w:bCs/>
              </w:rPr>
              <w:t>%</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Cs/>
              </w:rPr>
            </w:pPr>
            <w:r w:rsidRPr="00B0692A">
              <w:rPr>
                <w:rFonts w:cs="Arial"/>
                <w:bCs/>
              </w:rPr>
              <w:t>48 Transferencias corrientes a Familias e Instituciones sin fines de lucro</w:t>
            </w:r>
          </w:p>
        </w:tc>
        <w:tc>
          <w:tcPr>
            <w:tcW w:w="1593" w:type="dxa"/>
            <w:shd w:val="clear" w:color="auto" w:fill="auto"/>
            <w:vAlign w:val="center"/>
          </w:tcPr>
          <w:p w:rsidR="00B0692A" w:rsidRPr="00B0692A" w:rsidRDefault="00B0692A" w:rsidP="00B0692A">
            <w:pPr>
              <w:rPr>
                <w:rFonts w:cs="Arial"/>
              </w:rPr>
            </w:pPr>
            <w:r w:rsidRPr="00B0692A">
              <w:rPr>
                <w:rFonts w:cs="Arial"/>
                <w:bCs/>
              </w:rPr>
              <w:t>242.000,00</w:t>
            </w:r>
          </w:p>
        </w:tc>
        <w:tc>
          <w:tcPr>
            <w:tcW w:w="1559" w:type="dxa"/>
            <w:shd w:val="clear" w:color="auto" w:fill="auto"/>
            <w:vAlign w:val="center"/>
          </w:tcPr>
          <w:p w:rsidR="00B0692A" w:rsidRPr="00B0692A" w:rsidRDefault="00B0692A" w:rsidP="00B0692A">
            <w:pPr>
              <w:spacing w:line="300" w:lineRule="auto"/>
              <w:rPr>
                <w:rFonts w:cs="Arial"/>
                <w:bCs/>
              </w:rPr>
            </w:pPr>
            <w:r w:rsidRPr="00B0692A">
              <w:rPr>
                <w:rFonts w:cs="Arial"/>
                <w:bCs/>
              </w:rPr>
              <w:t>9.000,00</w:t>
            </w:r>
          </w:p>
        </w:tc>
        <w:tc>
          <w:tcPr>
            <w:tcW w:w="1106" w:type="dxa"/>
            <w:shd w:val="clear" w:color="auto" w:fill="auto"/>
            <w:vAlign w:val="center"/>
          </w:tcPr>
          <w:p w:rsidR="00B0692A" w:rsidRPr="00B0692A" w:rsidRDefault="00B0692A" w:rsidP="00B0692A">
            <w:pPr>
              <w:rPr>
                <w:rFonts w:cs="Arial"/>
              </w:rPr>
            </w:pPr>
            <w:r w:rsidRPr="00B0692A">
              <w:rPr>
                <w:rFonts w:cs="Arial"/>
                <w:bCs/>
              </w:rPr>
              <w:t>2588,89%</w:t>
            </w:r>
          </w:p>
        </w:tc>
      </w:tr>
      <w:tr w:rsidR="00B0692A" w:rsidRPr="00B0692A" w:rsidTr="008735B7">
        <w:tc>
          <w:tcPr>
            <w:tcW w:w="4219" w:type="dxa"/>
            <w:shd w:val="clear" w:color="auto" w:fill="auto"/>
            <w:vAlign w:val="center"/>
          </w:tcPr>
          <w:p w:rsidR="00B0692A" w:rsidRPr="00B0692A" w:rsidRDefault="00B0692A" w:rsidP="00B0692A">
            <w:pPr>
              <w:spacing w:line="300" w:lineRule="auto"/>
              <w:rPr>
                <w:rFonts w:cs="Arial"/>
                <w:b/>
                <w:bCs/>
              </w:rPr>
            </w:pPr>
          </w:p>
        </w:tc>
        <w:tc>
          <w:tcPr>
            <w:tcW w:w="1593" w:type="dxa"/>
            <w:shd w:val="clear" w:color="auto" w:fill="auto"/>
            <w:vAlign w:val="center"/>
          </w:tcPr>
          <w:p w:rsidR="00B0692A" w:rsidRPr="00B0692A" w:rsidRDefault="00B0692A" w:rsidP="00B0692A">
            <w:pPr>
              <w:rPr>
                <w:rFonts w:cs="Arial"/>
                <w:b/>
                <w:bCs/>
              </w:rPr>
            </w:pPr>
            <w:r w:rsidRPr="00B0692A">
              <w:rPr>
                <w:rFonts w:cs="Arial"/>
                <w:b/>
                <w:bCs/>
              </w:rPr>
              <w:t>242.000,00</w:t>
            </w:r>
          </w:p>
        </w:tc>
        <w:tc>
          <w:tcPr>
            <w:tcW w:w="1559" w:type="dxa"/>
            <w:shd w:val="clear" w:color="auto" w:fill="auto"/>
            <w:vAlign w:val="center"/>
          </w:tcPr>
          <w:p w:rsidR="00B0692A" w:rsidRPr="00B0692A" w:rsidRDefault="00B0692A" w:rsidP="00B0692A">
            <w:pPr>
              <w:spacing w:line="300" w:lineRule="auto"/>
              <w:rPr>
                <w:rFonts w:cs="Arial"/>
                <w:b/>
                <w:bCs/>
              </w:rPr>
            </w:pPr>
            <w:r w:rsidRPr="00B0692A">
              <w:rPr>
                <w:rFonts w:cs="Arial"/>
                <w:b/>
                <w:bCs/>
              </w:rPr>
              <w:t>9.000,00</w:t>
            </w:r>
          </w:p>
        </w:tc>
        <w:tc>
          <w:tcPr>
            <w:tcW w:w="1106" w:type="dxa"/>
            <w:shd w:val="clear" w:color="auto" w:fill="auto"/>
            <w:vAlign w:val="center"/>
          </w:tcPr>
          <w:p w:rsidR="00B0692A" w:rsidRPr="00B0692A" w:rsidRDefault="00B0692A" w:rsidP="00B0692A">
            <w:pPr>
              <w:rPr>
                <w:rFonts w:cs="Arial"/>
                <w:b/>
                <w:bCs/>
              </w:rPr>
            </w:pPr>
            <w:r w:rsidRPr="00B0692A">
              <w:rPr>
                <w:rFonts w:cs="Arial"/>
                <w:b/>
                <w:bCs/>
              </w:rPr>
              <w:t>2588,89%</w:t>
            </w:r>
          </w:p>
        </w:tc>
      </w:tr>
    </w:tbl>
    <w:p w:rsidR="00B0692A" w:rsidRPr="00B0692A" w:rsidRDefault="00B0692A" w:rsidP="00B0692A">
      <w:pPr>
        <w:spacing w:before="120" w:line="300" w:lineRule="auto"/>
        <w:ind w:firstLine="720"/>
        <w:rPr>
          <w:rFonts w:cs="Arial"/>
          <w:bCs/>
          <w:color w:val="FF0000"/>
        </w:rPr>
      </w:pPr>
    </w:p>
    <w:p w:rsidR="00B0692A" w:rsidRPr="00B0692A" w:rsidRDefault="00B0692A" w:rsidP="00B0692A">
      <w:pPr>
        <w:spacing w:before="120" w:line="300" w:lineRule="auto"/>
        <w:ind w:firstLine="709"/>
        <w:rPr>
          <w:rFonts w:cs="Arial"/>
          <w:bCs/>
        </w:rPr>
      </w:pPr>
      <w:r w:rsidRPr="00B0692A">
        <w:rPr>
          <w:rFonts w:cs="Arial"/>
          <w:bCs/>
        </w:rPr>
        <w:t xml:space="preserve">Como se ha dicho anteriormente, el incremento producido en este capítulo se debe a las aportaciones a las Asociaciones de Bomberos Voluntarios, que vuelve a presupuestarse como subvenciones nominativas. </w:t>
      </w:r>
    </w:p>
    <w:p w:rsidR="00B0692A" w:rsidRPr="00B0692A" w:rsidRDefault="00B0692A" w:rsidP="00B0692A">
      <w:pPr>
        <w:spacing w:before="120" w:line="300" w:lineRule="auto"/>
        <w:ind w:firstLine="720"/>
        <w:rPr>
          <w:rFonts w:cs="Arial"/>
          <w:bCs/>
        </w:rPr>
      </w:pPr>
      <w:r w:rsidRPr="00B0692A">
        <w:rPr>
          <w:rFonts w:cs="Arial"/>
          <w:bCs/>
        </w:rPr>
        <w:t xml:space="preserve">El total del Capítulo IV alcanza la cantidad de 242.000 euros, el </w:t>
      </w:r>
      <w:r w:rsidRPr="00B0692A">
        <w:rPr>
          <w:rFonts w:cs="Arial"/>
          <w:b/>
          <w:bCs/>
        </w:rPr>
        <w:t>1,16%</w:t>
      </w:r>
      <w:r w:rsidRPr="00B0692A">
        <w:rPr>
          <w:rFonts w:cs="Arial"/>
          <w:bCs/>
        </w:rPr>
        <w:t xml:space="preserve"> del Presupuesto total.</w:t>
      </w:r>
    </w:p>
    <w:p w:rsidR="00B0692A" w:rsidRPr="00B0692A" w:rsidRDefault="00B0692A" w:rsidP="00B0692A">
      <w:pPr>
        <w:spacing w:before="120" w:line="300" w:lineRule="auto"/>
        <w:ind w:firstLine="709"/>
        <w:rPr>
          <w:rFonts w:cs="Arial"/>
          <w:bCs/>
        </w:rPr>
      </w:pPr>
    </w:p>
    <w:p w:rsidR="00B0692A" w:rsidRPr="00B0692A" w:rsidRDefault="00B0692A" w:rsidP="00B0692A">
      <w:pPr>
        <w:spacing w:before="120" w:line="300" w:lineRule="auto"/>
        <w:ind w:firstLine="709"/>
        <w:rPr>
          <w:rFonts w:cs="Arial"/>
          <w:bCs/>
        </w:rPr>
      </w:pPr>
      <w:r w:rsidRPr="00B0692A">
        <w:rPr>
          <w:rFonts w:cs="Arial"/>
          <w:bCs/>
        </w:rPr>
        <w:t xml:space="preserve">El porcentaje de los </w:t>
      </w:r>
      <w:r w:rsidRPr="00B0692A">
        <w:rPr>
          <w:rFonts w:cs="Arial"/>
          <w:b/>
          <w:bCs/>
        </w:rPr>
        <w:t>gastos corrientes</w:t>
      </w:r>
      <w:r w:rsidRPr="00B0692A">
        <w:rPr>
          <w:rFonts w:cs="Arial"/>
          <w:bCs/>
        </w:rPr>
        <w:t xml:space="preserve"> es del </w:t>
      </w:r>
      <w:r w:rsidRPr="00B0692A">
        <w:rPr>
          <w:rFonts w:cs="Arial"/>
          <w:b/>
          <w:bCs/>
        </w:rPr>
        <w:t>81,47%</w:t>
      </w:r>
      <w:r w:rsidRPr="00B0692A">
        <w:rPr>
          <w:rFonts w:cs="Arial"/>
          <w:bCs/>
        </w:rPr>
        <w:t xml:space="preserve"> del Presupuesto total del Consorcio, e incrementa con respecto al del ejercicio anterior en 722.470,60 euros.</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pStyle w:val="Prrafodelista"/>
        <w:numPr>
          <w:ilvl w:val="0"/>
          <w:numId w:val="7"/>
        </w:numPr>
        <w:autoSpaceDE w:val="0"/>
        <w:autoSpaceDN w:val="0"/>
        <w:spacing w:before="120" w:after="0" w:line="300" w:lineRule="auto"/>
        <w:jc w:val="both"/>
        <w:rPr>
          <w:rFonts w:ascii="Arial" w:hAnsi="Arial" w:cs="Arial"/>
          <w:bCs/>
        </w:rPr>
      </w:pPr>
      <w:r w:rsidRPr="00B0692A">
        <w:rPr>
          <w:rFonts w:ascii="Arial" w:hAnsi="Arial" w:cs="Arial"/>
          <w:b/>
          <w:bCs/>
          <w:i/>
        </w:rPr>
        <w:t>Capítulo VI, Inversiones reales</w:t>
      </w:r>
    </w:p>
    <w:p w:rsidR="00B0692A" w:rsidRPr="00B0692A" w:rsidRDefault="00B0692A" w:rsidP="00B0692A">
      <w:pPr>
        <w:pStyle w:val="Prrafodelista"/>
        <w:spacing w:before="120" w:after="120" w:line="300" w:lineRule="auto"/>
        <w:ind w:left="0" w:firstLine="709"/>
        <w:jc w:val="both"/>
        <w:rPr>
          <w:rFonts w:ascii="Arial" w:hAnsi="Arial" w:cs="Arial"/>
          <w:bCs/>
        </w:rPr>
      </w:pPr>
      <w:r w:rsidRPr="00B0692A">
        <w:rPr>
          <w:rFonts w:ascii="Arial" w:hAnsi="Arial" w:cs="Arial"/>
          <w:bCs/>
        </w:rPr>
        <w:t xml:space="preserve">El presupuesto para inversiones de este año llega a los 3.634.885,00 euros, lo que supone un incremento del 62,97% con respecto al 2017, es decir, 1.404.547,00 euros más. </w:t>
      </w:r>
    </w:p>
    <w:p w:rsidR="00B0692A" w:rsidRPr="00B0692A" w:rsidRDefault="00B0692A" w:rsidP="00B0692A">
      <w:pPr>
        <w:pStyle w:val="Prrafodelista"/>
        <w:spacing w:before="120" w:after="120" w:line="300" w:lineRule="auto"/>
        <w:ind w:left="0" w:firstLine="709"/>
        <w:jc w:val="both"/>
        <w:rPr>
          <w:rFonts w:ascii="Arial" w:hAnsi="Arial" w:cs="Arial"/>
          <w:bCs/>
        </w:rPr>
      </w:pPr>
      <w:r w:rsidRPr="00B0692A">
        <w:rPr>
          <w:rFonts w:ascii="Arial" w:hAnsi="Arial" w:cs="Arial"/>
          <w:bCs/>
        </w:rPr>
        <w:t>Este incremento se produce principalmente como consecuencia de hacer cumplir el Acuerdo de finalización de huelga aprobado por el Pleno el 28 de junio de 2017. Uno de los puntos de este Acuerdo recogía la apertura de 3 nuevos Parques de Bomberos en la isla (Candelaria-</w:t>
      </w:r>
      <w:proofErr w:type="spellStart"/>
      <w:r w:rsidRPr="00B0692A">
        <w:rPr>
          <w:rFonts w:ascii="Arial" w:hAnsi="Arial" w:cs="Arial"/>
          <w:bCs/>
        </w:rPr>
        <w:t>Güímar</w:t>
      </w:r>
      <w:proofErr w:type="spellEnd"/>
      <w:r w:rsidRPr="00B0692A">
        <w:rPr>
          <w:rFonts w:ascii="Arial" w:hAnsi="Arial" w:cs="Arial"/>
          <w:bCs/>
        </w:rPr>
        <w:t>, Arona-</w:t>
      </w:r>
      <w:proofErr w:type="spellStart"/>
      <w:r w:rsidRPr="00B0692A">
        <w:rPr>
          <w:rFonts w:ascii="Arial" w:hAnsi="Arial" w:cs="Arial"/>
          <w:bCs/>
        </w:rPr>
        <w:t>Adeje</w:t>
      </w:r>
      <w:proofErr w:type="spellEnd"/>
      <w:r w:rsidRPr="00B0692A">
        <w:rPr>
          <w:rFonts w:ascii="Arial" w:hAnsi="Arial" w:cs="Arial"/>
          <w:bCs/>
        </w:rPr>
        <w:t xml:space="preserve"> y Guía de </w:t>
      </w:r>
      <w:proofErr w:type="spellStart"/>
      <w:r w:rsidRPr="00B0692A">
        <w:rPr>
          <w:rFonts w:ascii="Arial" w:hAnsi="Arial" w:cs="Arial"/>
          <w:bCs/>
        </w:rPr>
        <w:t>Isora</w:t>
      </w:r>
      <w:proofErr w:type="spellEnd"/>
      <w:r w:rsidRPr="00B0692A">
        <w:rPr>
          <w:rFonts w:ascii="Arial" w:hAnsi="Arial" w:cs="Arial"/>
          <w:bCs/>
        </w:rPr>
        <w:t xml:space="preserve">). Dos de ellos, el de Arona y el de </w:t>
      </w:r>
      <w:proofErr w:type="spellStart"/>
      <w:r w:rsidRPr="00B0692A">
        <w:rPr>
          <w:rFonts w:ascii="Arial" w:hAnsi="Arial" w:cs="Arial"/>
          <w:bCs/>
        </w:rPr>
        <w:t>Güímar</w:t>
      </w:r>
      <w:proofErr w:type="spellEnd"/>
      <w:r w:rsidRPr="00B0692A">
        <w:rPr>
          <w:rFonts w:ascii="Arial" w:hAnsi="Arial" w:cs="Arial"/>
          <w:bCs/>
        </w:rPr>
        <w:t>, deberán estar operativos antes del 1 de enero de 2019, por lo que en este Presupuesto se dotan créditos para el suministro de 9 vehículos y para el acondicionamiento de los edificios que se van a destinar a Parques de Bomberos.</w:t>
      </w:r>
    </w:p>
    <w:p w:rsidR="00B0692A" w:rsidRPr="00B0692A" w:rsidRDefault="00B0692A" w:rsidP="00B0692A">
      <w:pPr>
        <w:pStyle w:val="Prrafodelista"/>
        <w:spacing w:before="120" w:line="300" w:lineRule="auto"/>
        <w:ind w:left="0" w:firstLine="709"/>
        <w:jc w:val="both"/>
        <w:rPr>
          <w:rFonts w:ascii="Arial" w:hAnsi="Arial" w:cs="Arial"/>
          <w:bCs/>
        </w:rPr>
      </w:pPr>
    </w:p>
    <w:p w:rsidR="00B0692A" w:rsidRPr="00B0692A" w:rsidRDefault="00B0692A" w:rsidP="00B0692A">
      <w:pPr>
        <w:pStyle w:val="Prrafodelista"/>
        <w:numPr>
          <w:ilvl w:val="0"/>
          <w:numId w:val="40"/>
        </w:numPr>
        <w:autoSpaceDE w:val="0"/>
        <w:autoSpaceDN w:val="0"/>
        <w:spacing w:before="120" w:after="0" w:line="300" w:lineRule="auto"/>
        <w:jc w:val="both"/>
        <w:rPr>
          <w:rFonts w:ascii="Arial" w:hAnsi="Arial" w:cs="Arial"/>
          <w:bCs/>
        </w:rPr>
      </w:pPr>
      <w:r w:rsidRPr="00B0692A">
        <w:rPr>
          <w:rFonts w:ascii="Arial" w:hAnsi="Arial" w:cs="Arial"/>
          <w:bCs/>
        </w:rPr>
        <w:t>Los nueve vehículos mencionados se distribuyen de la siguiente forma:</w:t>
      </w:r>
    </w:p>
    <w:p w:rsidR="00B0692A" w:rsidRPr="00B0692A" w:rsidRDefault="00B0692A" w:rsidP="00B0692A">
      <w:pPr>
        <w:pStyle w:val="Prrafodelista"/>
        <w:numPr>
          <w:ilvl w:val="0"/>
          <w:numId w:val="36"/>
        </w:numPr>
        <w:autoSpaceDE w:val="0"/>
        <w:autoSpaceDN w:val="0"/>
        <w:spacing w:before="120" w:after="0" w:line="300" w:lineRule="auto"/>
        <w:jc w:val="both"/>
        <w:rPr>
          <w:rFonts w:ascii="Arial" w:hAnsi="Arial" w:cs="Arial"/>
          <w:bCs/>
        </w:rPr>
      </w:pPr>
      <w:r w:rsidRPr="00B0692A">
        <w:rPr>
          <w:rFonts w:ascii="Arial" w:hAnsi="Arial" w:cs="Arial"/>
          <w:bCs/>
        </w:rPr>
        <w:t xml:space="preserve">Parque de Bomberos de Arona: 1 </w:t>
      </w:r>
      <w:proofErr w:type="spellStart"/>
      <w:r w:rsidRPr="00B0692A">
        <w:rPr>
          <w:rFonts w:ascii="Arial" w:hAnsi="Arial" w:cs="Arial"/>
          <w:bCs/>
        </w:rPr>
        <w:t>Autoescalera</w:t>
      </w:r>
      <w:proofErr w:type="spellEnd"/>
      <w:r w:rsidRPr="00B0692A">
        <w:rPr>
          <w:rFonts w:ascii="Arial" w:hAnsi="Arial" w:cs="Arial"/>
          <w:bCs/>
        </w:rPr>
        <w:t xml:space="preserve"> Automática (AEA), 1 Autobomba Urbana Pesada (BUP), 1 Unidad de Rescate Especial (URE) y 1 Unidad de Mando de Control (UMC), por importe de 1.310.000,00 euros.</w:t>
      </w:r>
    </w:p>
    <w:p w:rsidR="00B0692A" w:rsidRPr="00B0692A" w:rsidRDefault="00B0692A" w:rsidP="00B0692A">
      <w:pPr>
        <w:pStyle w:val="Prrafodelista"/>
        <w:numPr>
          <w:ilvl w:val="0"/>
          <w:numId w:val="36"/>
        </w:numPr>
        <w:autoSpaceDE w:val="0"/>
        <w:autoSpaceDN w:val="0"/>
        <w:spacing w:before="120" w:after="0" w:line="300" w:lineRule="auto"/>
        <w:jc w:val="both"/>
        <w:rPr>
          <w:rFonts w:ascii="Arial" w:hAnsi="Arial" w:cs="Arial"/>
          <w:bCs/>
        </w:rPr>
      </w:pPr>
      <w:r w:rsidRPr="00B0692A">
        <w:rPr>
          <w:rFonts w:ascii="Arial" w:hAnsi="Arial" w:cs="Arial"/>
          <w:bCs/>
        </w:rPr>
        <w:t xml:space="preserve">Parque de Bomberos de </w:t>
      </w:r>
      <w:proofErr w:type="spellStart"/>
      <w:r w:rsidRPr="00B0692A">
        <w:rPr>
          <w:rFonts w:ascii="Arial" w:hAnsi="Arial" w:cs="Arial"/>
          <w:bCs/>
        </w:rPr>
        <w:t>Güímar</w:t>
      </w:r>
      <w:proofErr w:type="spellEnd"/>
      <w:r w:rsidRPr="00B0692A">
        <w:rPr>
          <w:rFonts w:ascii="Arial" w:hAnsi="Arial" w:cs="Arial"/>
          <w:bCs/>
        </w:rPr>
        <w:t xml:space="preserve">: 1 </w:t>
      </w:r>
      <w:proofErr w:type="spellStart"/>
      <w:r w:rsidRPr="00B0692A">
        <w:rPr>
          <w:rFonts w:ascii="Arial" w:hAnsi="Arial" w:cs="Arial"/>
          <w:bCs/>
        </w:rPr>
        <w:t>Autoescalera</w:t>
      </w:r>
      <w:proofErr w:type="spellEnd"/>
      <w:r w:rsidRPr="00B0692A">
        <w:rPr>
          <w:rFonts w:ascii="Arial" w:hAnsi="Arial" w:cs="Arial"/>
          <w:bCs/>
        </w:rPr>
        <w:t xml:space="preserve"> Automática (AEA), 1 Autobomba Urbana Pesada (BUP), 1 Autobomba Urbana Nodriza </w:t>
      </w:r>
      <w:r w:rsidRPr="00B0692A">
        <w:rPr>
          <w:rFonts w:ascii="Arial" w:hAnsi="Arial" w:cs="Arial"/>
          <w:bCs/>
        </w:rPr>
        <w:lastRenderedPageBreak/>
        <w:t>(BUN), 1 Unidad de Rescate Especial (URE) y 1 Unidad de Mando de Control (UMC), por importe de 1.735.000,00 euros.</w:t>
      </w:r>
    </w:p>
    <w:p w:rsidR="00B0692A" w:rsidRPr="00B0692A" w:rsidRDefault="00B0692A" w:rsidP="00B0692A">
      <w:pPr>
        <w:spacing w:before="120" w:line="300" w:lineRule="auto"/>
        <w:ind w:left="1068"/>
        <w:rPr>
          <w:rFonts w:cs="Arial"/>
          <w:bCs/>
        </w:rPr>
      </w:pPr>
      <w:r w:rsidRPr="00B0692A">
        <w:rPr>
          <w:rFonts w:cs="Arial"/>
          <w:bCs/>
        </w:rPr>
        <w:t>Hay que tener en cuenta que el suministro de las dos Autoescaleras automáticas (AEA), se va a materializar a través de un gasto plurianual, cuyas anualidades se cifran en 234.000,00 euros en el 2018, y 1.326.000,00 euros en el 2019.</w:t>
      </w:r>
    </w:p>
    <w:p w:rsidR="00B0692A" w:rsidRPr="00B0692A" w:rsidRDefault="00B0692A" w:rsidP="00B0692A">
      <w:pPr>
        <w:pStyle w:val="Prrafodelista"/>
        <w:numPr>
          <w:ilvl w:val="0"/>
          <w:numId w:val="40"/>
        </w:numPr>
        <w:autoSpaceDE w:val="0"/>
        <w:autoSpaceDN w:val="0"/>
        <w:spacing w:before="120" w:after="0" w:line="300" w:lineRule="auto"/>
        <w:jc w:val="both"/>
        <w:rPr>
          <w:rFonts w:ascii="Arial" w:hAnsi="Arial" w:cs="Arial"/>
          <w:bCs/>
        </w:rPr>
      </w:pPr>
      <w:r w:rsidRPr="00B0692A">
        <w:rPr>
          <w:rFonts w:ascii="Arial" w:hAnsi="Arial" w:cs="Arial"/>
          <w:bCs/>
        </w:rPr>
        <w:t xml:space="preserve">La rehabilitación y acondicionamiento de los dos edificios se presupuestan por 382.000,00 euros: el Parque de Arona por 182.000 euros y el de </w:t>
      </w:r>
      <w:proofErr w:type="spellStart"/>
      <w:r w:rsidRPr="00B0692A">
        <w:rPr>
          <w:rFonts w:ascii="Arial" w:hAnsi="Arial" w:cs="Arial"/>
          <w:bCs/>
        </w:rPr>
        <w:t>Güímar</w:t>
      </w:r>
      <w:proofErr w:type="spellEnd"/>
      <w:r w:rsidRPr="00B0692A">
        <w:rPr>
          <w:rFonts w:ascii="Arial" w:hAnsi="Arial" w:cs="Arial"/>
          <w:bCs/>
        </w:rPr>
        <w:t xml:space="preserve"> por 200.000 euros.</w:t>
      </w:r>
    </w:p>
    <w:p w:rsidR="00B0692A" w:rsidRPr="00B0692A" w:rsidRDefault="00B0692A" w:rsidP="00B0692A">
      <w:pPr>
        <w:spacing w:before="120" w:line="300" w:lineRule="auto"/>
        <w:ind w:left="709"/>
        <w:rPr>
          <w:rFonts w:cs="Arial"/>
          <w:bCs/>
        </w:rPr>
      </w:pPr>
      <w:r w:rsidRPr="00B0692A">
        <w:rPr>
          <w:rFonts w:cs="Arial"/>
          <w:bCs/>
        </w:rPr>
        <w:t>Todas estas inversiones mencionadas, que ascienden a 3.427.000,00 euros en los ejercicios 2018 y 2019, serán financiadas íntegramente por el Excmo. Cabildo Insular de Tenerife.</w:t>
      </w:r>
    </w:p>
    <w:p w:rsidR="00B0692A" w:rsidRPr="00B0692A" w:rsidRDefault="00B0692A" w:rsidP="00B0692A">
      <w:pPr>
        <w:pStyle w:val="Prrafodelista"/>
        <w:spacing w:before="120" w:line="300" w:lineRule="auto"/>
        <w:ind w:left="0" w:firstLine="709"/>
        <w:jc w:val="both"/>
        <w:rPr>
          <w:rFonts w:ascii="Arial" w:hAnsi="Arial" w:cs="Arial"/>
          <w:bCs/>
          <w:color w:val="FF0000"/>
        </w:rPr>
      </w:pPr>
    </w:p>
    <w:p w:rsidR="00B0692A" w:rsidRPr="00B0692A" w:rsidRDefault="00B0692A" w:rsidP="00B0692A">
      <w:pPr>
        <w:pStyle w:val="Prrafodelista"/>
        <w:spacing w:before="120" w:line="300" w:lineRule="auto"/>
        <w:ind w:left="0" w:firstLine="709"/>
        <w:jc w:val="both"/>
        <w:rPr>
          <w:rFonts w:ascii="Arial" w:hAnsi="Arial" w:cs="Arial"/>
          <w:bCs/>
        </w:rPr>
      </w:pPr>
      <w:r w:rsidRPr="00B0692A">
        <w:rPr>
          <w:rFonts w:ascii="Arial" w:hAnsi="Arial" w:cs="Arial"/>
          <w:bCs/>
        </w:rPr>
        <w:t>Además de la inversión para los nuevos Parques, este capítulo también recoge inversiones para los Parques actuales. Entre ellas destacan:</w:t>
      </w:r>
    </w:p>
    <w:p w:rsidR="00B0692A" w:rsidRPr="00B0692A" w:rsidRDefault="00B0692A" w:rsidP="00B0692A">
      <w:pPr>
        <w:pStyle w:val="Prrafodelista"/>
        <w:spacing w:before="120" w:line="300" w:lineRule="auto"/>
        <w:ind w:left="709"/>
        <w:jc w:val="both"/>
        <w:rPr>
          <w:rFonts w:ascii="Arial" w:hAnsi="Arial" w:cs="Arial"/>
          <w:bCs/>
        </w:rPr>
      </w:pPr>
    </w:p>
    <w:p w:rsidR="00B0692A" w:rsidRPr="00B0692A" w:rsidRDefault="00B0692A" w:rsidP="00B0692A">
      <w:pPr>
        <w:pStyle w:val="Prrafodelista"/>
        <w:numPr>
          <w:ilvl w:val="0"/>
          <w:numId w:val="7"/>
        </w:numPr>
        <w:autoSpaceDE w:val="0"/>
        <w:autoSpaceDN w:val="0"/>
        <w:spacing w:before="120" w:after="0" w:line="300" w:lineRule="auto"/>
        <w:ind w:left="709" w:firstLine="0"/>
        <w:jc w:val="both"/>
        <w:rPr>
          <w:rFonts w:ascii="Arial" w:hAnsi="Arial" w:cs="Arial"/>
          <w:bCs/>
        </w:rPr>
      </w:pPr>
      <w:r w:rsidRPr="00B0692A">
        <w:rPr>
          <w:rFonts w:ascii="Arial" w:hAnsi="Arial" w:cs="Arial"/>
          <w:bCs/>
        </w:rPr>
        <w:t xml:space="preserve">Cinco vehículos de emergencias: tres vehículos 4x4 para los Parques de Santa Cruz, San Miguel y La Laguna, y dos Unidades de Rescate Especial (URE) para los parques de La </w:t>
      </w:r>
      <w:proofErr w:type="spellStart"/>
      <w:r w:rsidRPr="00B0692A">
        <w:rPr>
          <w:rFonts w:ascii="Arial" w:hAnsi="Arial" w:cs="Arial"/>
          <w:bCs/>
        </w:rPr>
        <w:t>Orotava</w:t>
      </w:r>
      <w:proofErr w:type="spellEnd"/>
      <w:r w:rsidRPr="00B0692A">
        <w:rPr>
          <w:rFonts w:ascii="Arial" w:hAnsi="Arial" w:cs="Arial"/>
          <w:bCs/>
        </w:rPr>
        <w:t xml:space="preserve">  y de </w:t>
      </w:r>
      <w:proofErr w:type="spellStart"/>
      <w:r w:rsidRPr="00B0692A">
        <w:rPr>
          <w:rFonts w:ascii="Arial" w:hAnsi="Arial" w:cs="Arial"/>
          <w:bCs/>
        </w:rPr>
        <w:t>Icod</w:t>
      </w:r>
      <w:proofErr w:type="spellEnd"/>
      <w:r w:rsidRPr="00B0692A">
        <w:rPr>
          <w:rFonts w:ascii="Arial" w:hAnsi="Arial" w:cs="Arial"/>
          <w:bCs/>
        </w:rPr>
        <w:t xml:space="preserve">. </w:t>
      </w:r>
    </w:p>
    <w:p w:rsidR="00B0692A" w:rsidRPr="00B0692A" w:rsidRDefault="00B0692A" w:rsidP="00B0692A">
      <w:pPr>
        <w:pStyle w:val="Prrafodelista"/>
        <w:numPr>
          <w:ilvl w:val="0"/>
          <w:numId w:val="7"/>
        </w:numPr>
        <w:autoSpaceDE w:val="0"/>
        <w:autoSpaceDN w:val="0"/>
        <w:spacing w:before="120" w:after="0" w:line="300" w:lineRule="auto"/>
        <w:ind w:left="709" w:firstLine="0"/>
        <w:jc w:val="both"/>
        <w:rPr>
          <w:rFonts w:ascii="Arial" w:hAnsi="Arial" w:cs="Arial"/>
          <w:bCs/>
        </w:rPr>
      </w:pPr>
      <w:r w:rsidRPr="00B0692A">
        <w:rPr>
          <w:rFonts w:ascii="Arial" w:hAnsi="Arial" w:cs="Arial"/>
          <w:bCs/>
        </w:rPr>
        <w:t xml:space="preserve">Inversiones de material técnico operativo por importe total del 271.080 euros (camillas de rescate, equipos excarcelación, generadores, </w:t>
      </w:r>
      <w:proofErr w:type="spellStart"/>
      <w:r w:rsidRPr="00B0692A">
        <w:rPr>
          <w:rFonts w:ascii="Arial" w:hAnsi="Arial" w:cs="Arial"/>
          <w:bCs/>
        </w:rPr>
        <w:t>EPI´s</w:t>
      </w:r>
      <w:proofErr w:type="spellEnd"/>
      <w:r w:rsidRPr="00B0692A">
        <w:rPr>
          <w:rFonts w:ascii="Arial" w:hAnsi="Arial" w:cs="Arial"/>
          <w:bCs/>
        </w:rPr>
        <w:t xml:space="preserve"> respiratorios.</w:t>
      </w:r>
    </w:p>
    <w:p w:rsidR="00B0692A" w:rsidRPr="00B0692A" w:rsidRDefault="00B0692A" w:rsidP="00B0692A">
      <w:pPr>
        <w:pStyle w:val="Prrafodelista"/>
        <w:numPr>
          <w:ilvl w:val="0"/>
          <w:numId w:val="7"/>
        </w:numPr>
        <w:autoSpaceDE w:val="0"/>
        <w:autoSpaceDN w:val="0"/>
        <w:spacing w:before="120" w:after="0" w:line="300" w:lineRule="auto"/>
        <w:ind w:left="709" w:firstLine="0"/>
        <w:jc w:val="both"/>
        <w:rPr>
          <w:rFonts w:ascii="Arial" w:hAnsi="Arial" w:cs="Arial"/>
          <w:bCs/>
        </w:rPr>
      </w:pPr>
      <w:r w:rsidRPr="00B0692A">
        <w:rPr>
          <w:rFonts w:ascii="Arial" w:hAnsi="Arial" w:cs="Arial"/>
          <w:bCs/>
        </w:rPr>
        <w:t>Obras de rehabilitación del Parque de Santa Cruz, que se une a las obras de patologías estructurales (asfaltado completo, proyecto rehabilitación completa), por importe de 502.000 euros</w:t>
      </w:r>
    </w:p>
    <w:p w:rsidR="00B0692A" w:rsidRPr="00B0692A" w:rsidRDefault="00B0692A" w:rsidP="00B0692A">
      <w:pPr>
        <w:pStyle w:val="Prrafodelista"/>
        <w:numPr>
          <w:ilvl w:val="0"/>
          <w:numId w:val="7"/>
        </w:numPr>
        <w:autoSpaceDE w:val="0"/>
        <w:autoSpaceDN w:val="0"/>
        <w:spacing w:before="120" w:after="0" w:line="300" w:lineRule="auto"/>
        <w:ind w:left="709" w:firstLine="0"/>
        <w:jc w:val="both"/>
        <w:rPr>
          <w:rFonts w:ascii="Arial" w:hAnsi="Arial" w:cs="Arial"/>
          <w:bCs/>
        </w:rPr>
      </w:pPr>
      <w:r w:rsidRPr="00B0692A">
        <w:rPr>
          <w:rFonts w:ascii="Arial" w:hAnsi="Arial" w:cs="Arial"/>
          <w:bCs/>
        </w:rPr>
        <w:t>Aplicaciones informáticas, que incluyen administración electrónica y gestión documental, gestión de activos y gestión de incidencias, que conjuntamente alcanzan 147.500 euros.</w:t>
      </w:r>
    </w:p>
    <w:p w:rsidR="00B0692A" w:rsidRPr="00B0692A" w:rsidRDefault="00B0692A" w:rsidP="00B0692A">
      <w:pPr>
        <w:pStyle w:val="Prrafodelista"/>
        <w:spacing w:before="120" w:line="300" w:lineRule="auto"/>
        <w:ind w:left="0" w:firstLine="709"/>
        <w:jc w:val="both"/>
        <w:rPr>
          <w:rFonts w:ascii="Arial" w:hAnsi="Arial" w:cs="Arial"/>
          <w:bCs/>
          <w:color w:val="FF0000"/>
        </w:rPr>
      </w:pPr>
    </w:p>
    <w:p w:rsidR="00B0692A" w:rsidRPr="00B0692A" w:rsidRDefault="00B0692A" w:rsidP="00B0692A">
      <w:pPr>
        <w:pStyle w:val="Prrafodelista"/>
        <w:spacing w:before="120" w:line="300" w:lineRule="auto"/>
        <w:ind w:left="0" w:firstLine="709"/>
        <w:jc w:val="both"/>
        <w:rPr>
          <w:rFonts w:ascii="Arial" w:hAnsi="Arial" w:cs="Arial"/>
          <w:bCs/>
        </w:rPr>
      </w:pPr>
      <w:r w:rsidRPr="00B0692A">
        <w:rPr>
          <w:rFonts w:ascii="Arial" w:hAnsi="Arial" w:cs="Arial"/>
          <w:bCs/>
        </w:rPr>
        <w:t>Por lo expuesto, el capítulo VI supone el 17,44% del total del Presupuesto de 2018.</w:t>
      </w:r>
    </w:p>
    <w:p w:rsidR="00B0692A" w:rsidRPr="00B0692A" w:rsidRDefault="00B0692A" w:rsidP="00B0692A">
      <w:pPr>
        <w:pStyle w:val="Prrafodelista"/>
        <w:spacing w:before="120" w:line="300" w:lineRule="auto"/>
        <w:ind w:left="1789"/>
        <w:jc w:val="both"/>
        <w:rPr>
          <w:rFonts w:ascii="Arial" w:hAnsi="Arial" w:cs="Arial"/>
          <w:bCs/>
          <w:color w:val="FF0000"/>
        </w:rPr>
      </w:pPr>
    </w:p>
    <w:p w:rsidR="00B0692A" w:rsidRPr="00B0692A" w:rsidRDefault="00B0692A" w:rsidP="00B0692A">
      <w:pPr>
        <w:pStyle w:val="Prrafodelista"/>
        <w:numPr>
          <w:ilvl w:val="0"/>
          <w:numId w:val="7"/>
        </w:numPr>
        <w:tabs>
          <w:tab w:val="clear" w:pos="1080"/>
        </w:tabs>
        <w:autoSpaceDE w:val="0"/>
        <w:autoSpaceDN w:val="0"/>
        <w:spacing w:before="120" w:after="0" w:line="300" w:lineRule="auto"/>
        <w:ind w:left="1134" w:hanging="425"/>
        <w:jc w:val="both"/>
        <w:rPr>
          <w:rFonts w:ascii="Arial" w:hAnsi="Arial" w:cs="Arial"/>
          <w:bCs/>
        </w:rPr>
      </w:pPr>
      <w:r w:rsidRPr="00B0692A">
        <w:rPr>
          <w:rFonts w:ascii="Arial" w:hAnsi="Arial" w:cs="Arial"/>
          <w:b/>
          <w:bCs/>
          <w:i/>
        </w:rPr>
        <w:t xml:space="preserve"> Capítulo VII, Transferencias de capital</w:t>
      </w:r>
    </w:p>
    <w:p w:rsidR="00B0692A" w:rsidRPr="00B0692A" w:rsidRDefault="00B0692A" w:rsidP="00B0692A">
      <w:pPr>
        <w:pStyle w:val="Prrafodelista"/>
        <w:spacing w:before="120" w:line="300" w:lineRule="auto"/>
        <w:ind w:left="0" w:firstLine="709"/>
        <w:jc w:val="both"/>
        <w:rPr>
          <w:rFonts w:ascii="Arial" w:hAnsi="Arial" w:cs="Arial"/>
          <w:bCs/>
        </w:rPr>
      </w:pPr>
      <w:r w:rsidRPr="00B0692A">
        <w:rPr>
          <w:rFonts w:ascii="Arial" w:hAnsi="Arial" w:cs="Arial"/>
          <w:bCs/>
        </w:rPr>
        <w:t xml:space="preserve"> Este capítulo se cifra en 120.000,00 euros, y recoge las subvenciones nominativas para gastos de inversión a las Asociaciones de Bomberos Voluntarios.</w:t>
      </w:r>
    </w:p>
    <w:p w:rsidR="00B0692A" w:rsidRPr="00B0692A" w:rsidRDefault="00B0692A" w:rsidP="00B0692A">
      <w:pPr>
        <w:pStyle w:val="Prrafodelista"/>
        <w:spacing w:before="120" w:line="300" w:lineRule="auto"/>
        <w:ind w:left="0" w:firstLine="709"/>
        <w:jc w:val="both"/>
        <w:rPr>
          <w:rFonts w:ascii="Arial" w:hAnsi="Arial" w:cs="Arial"/>
          <w:bCs/>
        </w:rPr>
      </w:pPr>
      <w:r w:rsidRPr="00B0692A">
        <w:rPr>
          <w:rFonts w:ascii="Arial" w:hAnsi="Arial" w:cs="Arial"/>
          <w:bCs/>
        </w:rPr>
        <w:t>El peso de este capítulo en el total del Presupuesto es del 0,58%.</w:t>
      </w:r>
    </w:p>
    <w:p w:rsidR="00B0692A" w:rsidRPr="00B0692A" w:rsidRDefault="00B0692A" w:rsidP="00B0692A">
      <w:pPr>
        <w:pStyle w:val="Prrafodelista"/>
        <w:spacing w:before="120" w:line="300" w:lineRule="auto"/>
        <w:ind w:left="1789"/>
        <w:jc w:val="both"/>
        <w:rPr>
          <w:rFonts w:ascii="Arial" w:hAnsi="Arial" w:cs="Arial"/>
          <w:bCs/>
          <w:color w:val="FF0000"/>
        </w:rPr>
      </w:pPr>
    </w:p>
    <w:p w:rsidR="00B0692A" w:rsidRPr="00B0692A" w:rsidRDefault="00B0692A" w:rsidP="00B0692A">
      <w:pPr>
        <w:pStyle w:val="Prrafodelista"/>
        <w:numPr>
          <w:ilvl w:val="0"/>
          <w:numId w:val="7"/>
        </w:numPr>
        <w:tabs>
          <w:tab w:val="clear" w:pos="1080"/>
        </w:tabs>
        <w:autoSpaceDE w:val="0"/>
        <w:autoSpaceDN w:val="0"/>
        <w:spacing w:before="120" w:after="0" w:line="300" w:lineRule="auto"/>
        <w:ind w:left="1134" w:hanging="425"/>
        <w:jc w:val="both"/>
        <w:rPr>
          <w:rFonts w:ascii="Arial" w:hAnsi="Arial" w:cs="Arial"/>
          <w:bCs/>
        </w:rPr>
      </w:pPr>
      <w:r w:rsidRPr="00B0692A">
        <w:rPr>
          <w:rFonts w:ascii="Arial" w:hAnsi="Arial" w:cs="Arial"/>
          <w:b/>
          <w:bCs/>
          <w:i/>
        </w:rPr>
        <w:lastRenderedPageBreak/>
        <w:t xml:space="preserve"> Capítulo VIII, Activos financieros</w:t>
      </w:r>
    </w:p>
    <w:p w:rsidR="00B0692A" w:rsidRPr="00B0692A" w:rsidRDefault="00B0692A" w:rsidP="00B0692A">
      <w:pPr>
        <w:spacing w:before="120" w:line="300" w:lineRule="auto"/>
        <w:ind w:firstLine="709"/>
        <w:rPr>
          <w:rFonts w:cs="Arial"/>
          <w:bCs/>
        </w:rPr>
      </w:pPr>
      <w:r w:rsidRPr="00B0692A">
        <w:rPr>
          <w:rFonts w:cs="Arial"/>
          <w:bCs/>
        </w:rPr>
        <w:t xml:space="preserve"> Este capítulo no experimenta variación alguna con respecto al ejercicio anterior, manteniéndose los créditos para anticipos al personal en la misma cuantía, 0,53% del total del Presupuesto. Hay que mencionar que estas</w:t>
      </w:r>
      <w:r w:rsidRPr="00B0692A">
        <w:rPr>
          <w:rFonts w:cs="Arial"/>
        </w:rPr>
        <w:t xml:space="preserve"> partidas son ampliables ya que corresponden a gastos financiados con recursos expresamente afectados.</w:t>
      </w:r>
    </w:p>
    <w:p w:rsidR="00B0692A" w:rsidRPr="00B0692A" w:rsidRDefault="00B0692A" w:rsidP="00B0692A">
      <w:pPr>
        <w:spacing w:before="120" w:line="300" w:lineRule="auto"/>
        <w:ind w:firstLine="709"/>
        <w:rPr>
          <w:rFonts w:cs="Arial"/>
          <w:bCs/>
          <w:color w:val="FF0000"/>
        </w:rPr>
      </w:pPr>
    </w:p>
    <w:p w:rsidR="00B0692A" w:rsidRPr="00B0692A" w:rsidRDefault="00B0692A" w:rsidP="00B0692A">
      <w:pPr>
        <w:spacing w:before="120" w:line="300" w:lineRule="auto"/>
        <w:ind w:firstLine="709"/>
        <w:rPr>
          <w:rFonts w:cs="Arial"/>
          <w:bCs/>
        </w:rPr>
      </w:pPr>
      <w:r w:rsidRPr="00B0692A">
        <w:rPr>
          <w:rFonts w:cs="Arial"/>
          <w:bCs/>
        </w:rPr>
        <w:t xml:space="preserve">El Presupuesto General para 2018 se presenta cumpliendo con los criterios de estabilidad presupuestaria vigentes, así como lo establecido en el </w:t>
      </w:r>
      <w:proofErr w:type="spellStart"/>
      <w:r w:rsidRPr="00B0692A">
        <w:rPr>
          <w:rFonts w:cs="Arial"/>
          <w:bCs/>
        </w:rPr>
        <w:t>RDLeg</w:t>
      </w:r>
      <w:proofErr w:type="spellEnd"/>
      <w:r w:rsidRPr="00B0692A">
        <w:rPr>
          <w:rFonts w:cs="Arial"/>
          <w:bCs/>
        </w:rPr>
        <w:t xml:space="preserve"> 2/2004 que aprueba el Texto Refundido de la Ley Reguladora de las Haciendas Locales.</w:t>
      </w:r>
    </w:p>
    <w:p w:rsidR="00B0692A" w:rsidRPr="00B0692A" w:rsidRDefault="00B0692A" w:rsidP="00B0692A">
      <w:pPr>
        <w:rPr>
          <w:rFonts w:cs="Arial"/>
        </w:rPr>
      </w:pPr>
    </w:p>
    <w:p w:rsidR="00C336CB" w:rsidRPr="00B0692A" w:rsidRDefault="00C336CB" w:rsidP="00B0692A">
      <w:pPr>
        <w:rPr>
          <w:rFonts w:cs="Arial"/>
        </w:rPr>
      </w:pPr>
    </w:p>
    <w:sectPr w:rsidR="00C336CB" w:rsidRPr="00B0692A"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C0" w:rsidRDefault="001F26C0" w:rsidP="00041E20">
      <w:r>
        <w:separator/>
      </w:r>
    </w:p>
  </w:endnote>
  <w:endnote w:type="continuationSeparator" w:id="1">
    <w:p w:rsidR="001F26C0" w:rsidRDefault="001F26C0"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5C" w:rsidRDefault="006B215C"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B0692A" w:rsidRPr="00B0692A">
        <w:rPr>
          <w:noProof/>
          <w:sz w:val="16"/>
          <w:szCs w:val="16"/>
        </w:rPr>
        <w:t>17/12/2019</w:t>
      </w:r>
    </w:fldSimple>
  </w:p>
  <w:p w:rsidR="006B215C" w:rsidRPr="006B215C" w:rsidRDefault="006B215C"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C0" w:rsidRDefault="001F26C0" w:rsidP="00041E20">
      <w:r>
        <w:separator/>
      </w:r>
    </w:p>
  </w:footnote>
  <w:footnote w:type="continuationSeparator" w:id="1">
    <w:p w:rsidR="001F26C0" w:rsidRDefault="001F26C0"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C0" w:rsidRDefault="001F26C0"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4">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7">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F2D2F03"/>
    <w:multiLevelType w:val="hybridMultilevel"/>
    <w:tmpl w:val="9A4E225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6">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7">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7E50EB7"/>
    <w:multiLevelType w:val="hybridMultilevel"/>
    <w:tmpl w:val="6E4CF116"/>
    <w:lvl w:ilvl="0" w:tplc="E25EEDE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7">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8">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4"/>
  </w:num>
  <w:num w:numId="3">
    <w:abstractNumId w:val="35"/>
  </w:num>
  <w:num w:numId="4">
    <w:abstractNumId w:val="5"/>
  </w:num>
  <w:num w:numId="5">
    <w:abstractNumId w:val="23"/>
  </w:num>
  <w:num w:numId="6">
    <w:abstractNumId w:val="1"/>
  </w:num>
  <w:num w:numId="7">
    <w:abstractNumId w:val="37"/>
  </w:num>
  <w:num w:numId="8">
    <w:abstractNumId w:val="36"/>
  </w:num>
  <w:num w:numId="9">
    <w:abstractNumId w:val="6"/>
  </w:num>
  <w:num w:numId="10">
    <w:abstractNumId w:val="32"/>
  </w:num>
  <w:num w:numId="11">
    <w:abstractNumId w:val="0"/>
  </w:num>
  <w:num w:numId="12">
    <w:abstractNumId w:val="11"/>
  </w:num>
  <w:num w:numId="13">
    <w:abstractNumId w:val="8"/>
  </w:num>
  <w:num w:numId="14">
    <w:abstractNumId w:val="22"/>
  </w:num>
  <w:num w:numId="15">
    <w:abstractNumId w:val="20"/>
  </w:num>
  <w:num w:numId="16">
    <w:abstractNumId w:val="30"/>
  </w:num>
  <w:num w:numId="17">
    <w:abstractNumId w:val="28"/>
  </w:num>
  <w:num w:numId="18">
    <w:abstractNumId w:val="34"/>
  </w:num>
  <w:num w:numId="19">
    <w:abstractNumId w:val="7"/>
  </w:num>
  <w:num w:numId="20">
    <w:abstractNumId w:val="24"/>
  </w:num>
  <w:num w:numId="21">
    <w:abstractNumId w:val="9"/>
  </w:num>
  <w:num w:numId="22">
    <w:abstractNumId w:val="29"/>
  </w:num>
  <w:num w:numId="23">
    <w:abstractNumId w:val="12"/>
  </w:num>
  <w:num w:numId="24">
    <w:abstractNumId w:val="2"/>
  </w:num>
  <w:num w:numId="25">
    <w:abstractNumId w:val="21"/>
  </w:num>
  <w:num w:numId="26">
    <w:abstractNumId w:val="3"/>
  </w:num>
  <w:num w:numId="27">
    <w:abstractNumId w:val="13"/>
  </w:num>
  <w:num w:numId="28">
    <w:abstractNumId w:val="15"/>
  </w:num>
  <w:num w:numId="29">
    <w:abstractNumId w:val="14"/>
  </w:num>
  <w:num w:numId="30">
    <w:abstractNumId w:val="16"/>
  </w:num>
  <w:num w:numId="31">
    <w:abstractNumId w:val="17"/>
  </w:num>
  <w:num w:numId="32">
    <w:abstractNumId w:val="19"/>
  </w:num>
  <w:num w:numId="33">
    <w:abstractNumId w:val="18"/>
  </w:num>
  <w:num w:numId="34">
    <w:abstractNumId w:val="39"/>
  </w:num>
  <w:num w:numId="35">
    <w:abstractNumId w:val="26"/>
  </w:num>
  <w:num w:numId="36">
    <w:abstractNumId w:val="27"/>
  </w:num>
  <w:num w:numId="37">
    <w:abstractNumId w:val="10"/>
  </w:num>
  <w:num w:numId="38">
    <w:abstractNumId w:val="31"/>
  </w:num>
  <w:num w:numId="39">
    <w:abstractNumId w:val="25"/>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041E20"/>
    <w:rsid w:val="000341AC"/>
    <w:rsid w:val="00041E20"/>
    <w:rsid w:val="00061C82"/>
    <w:rsid w:val="00071BB5"/>
    <w:rsid w:val="000A40E5"/>
    <w:rsid w:val="001A3F4D"/>
    <w:rsid w:val="001F26C0"/>
    <w:rsid w:val="00207DF3"/>
    <w:rsid w:val="00221682"/>
    <w:rsid w:val="00252018"/>
    <w:rsid w:val="0027371F"/>
    <w:rsid w:val="002A167A"/>
    <w:rsid w:val="00356DE4"/>
    <w:rsid w:val="00396097"/>
    <w:rsid w:val="004207D0"/>
    <w:rsid w:val="004D04AB"/>
    <w:rsid w:val="0051242D"/>
    <w:rsid w:val="005949FE"/>
    <w:rsid w:val="005F7294"/>
    <w:rsid w:val="0061402E"/>
    <w:rsid w:val="0064365B"/>
    <w:rsid w:val="00662789"/>
    <w:rsid w:val="006A10F8"/>
    <w:rsid w:val="006B215C"/>
    <w:rsid w:val="007621F0"/>
    <w:rsid w:val="00764527"/>
    <w:rsid w:val="00824FBD"/>
    <w:rsid w:val="008F58B9"/>
    <w:rsid w:val="009676AD"/>
    <w:rsid w:val="00B066C3"/>
    <w:rsid w:val="00B06755"/>
    <w:rsid w:val="00B0692A"/>
    <w:rsid w:val="00B37EEF"/>
    <w:rsid w:val="00BE7776"/>
    <w:rsid w:val="00BF5A82"/>
    <w:rsid w:val="00C05E8A"/>
    <w:rsid w:val="00C125F8"/>
    <w:rsid w:val="00C336CB"/>
    <w:rsid w:val="00C80193"/>
    <w:rsid w:val="00D4357B"/>
    <w:rsid w:val="00D471FF"/>
    <w:rsid w:val="00D67127"/>
    <w:rsid w:val="00D70C6C"/>
    <w:rsid w:val="00D8081D"/>
    <w:rsid w:val="00E7541B"/>
    <w:rsid w:val="00E76EFC"/>
    <w:rsid w:val="00EE024A"/>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32D-156F-49B3-9E4E-C7C4F62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2811</Words>
  <Characters>15465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2019-12-17T12:44:00Z</cp:lastPrinted>
  <dcterms:created xsi:type="dcterms:W3CDTF">2019-12-17T12:48:00Z</dcterms:created>
  <dcterms:modified xsi:type="dcterms:W3CDTF">2019-12-17T12:48:00Z</dcterms:modified>
</cp:coreProperties>
</file>